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30" w:rsidRDefault="00144130">
      <w:pPr>
        <w:spacing w:line="600" w:lineRule="exact"/>
        <w:jc w:val="center"/>
        <w:outlineLvl w:val="0"/>
        <w:rPr>
          <w:rFonts w:ascii="方正小标宋简体" w:eastAsia="方正小标宋简体" w:hAnsi="宋体"/>
          <w:sz w:val="72"/>
          <w:szCs w:val="72"/>
        </w:rPr>
      </w:pPr>
      <w:bookmarkStart w:id="0" w:name="_Toc15306267"/>
    </w:p>
    <w:p w:rsidR="00144130" w:rsidRDefault="00144130">
      <w:pPr>
        <w:spacing w:line="600" w:lineRule="exact"/>
        <w:jc w:val="center"/>
        <w:outlineLvl w:val="0"/>
        <w:rPr>
          <w:rFonts w:ascii="方正小标宋简体" w:eastAsia="方正小标宋简体" w:hAnsi="宋体"/>
          <w:sz w:val="72"/>
          <w:szCs w:val="72"/>
        </w:rPr>
      </w:pPr>
    </w:p>
    <w:p w:rsidR="00144130" w:rsidRDefault="00144130">
      <w:pPr>
        <w:spacing w:line="600" w:lineRule="exact"/>
        <w:jc w:val="center"/>
        <w:outlineLvl w:val="0"/>
        <w:rPr>
          <w:rFonts w:ascii="方正小标宋简体" w:eastAsia="方正小标宋简体" w:hAnsi="宋体"/>
          <w:sz w:val="72"/>
          <w:szCs w:val="72"/>
        </w:rPr>
      </w:pPr>
    </w:p>
    <w:p w:rsidR="00144130" w:rsidRDefault="00144130">
      <w:pPr>
        <w:spacing w:line="600" w:lineRule="exact"/>
        <w:jc w:val="center"/>
        <w:outlineLvl w:val="0"/>
        <w:rPr>
          <w:rFonts w:ascii="方正小标宋简体" w:eastAsia="方正小标宋简体" w:hAnsi="宋体"/>
          <w:sz w:val="72"/>
          <w:szCs w:val="72"/>
        </w:rPr>
      </w:pPr>
    </w:p>
    <w:p w:rsidR="00144130" w:rsidRDefault="00C1571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77425"/>
      <w:bookmarkStart w:id="3" w:name="_Toc15396475"/>
      <w:bookmarkStart w:id="4" w:name="_Toc15378441"/>
      <w:bookmarkStart w:id="5" w:name="_Toc15377193"/>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p>
    <w:p w:rsidR="00144130" w:rsidRDefault="00C1571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8442"/>
      <w:bookmarkStart w:id="7" w:name="_Toc15306268"/>
      <w:bookmarkStart w:id="8" w:name="_Toc15377194"/>
      <w:bookmarkStart w:id="9" w:name="_Toc15377426"/>
      <w:bookmarkStart w:id="10" w:name="_Toc15396476"/>
      <w:bookmarkStart w:id="11" w:name="_Toc15396598"/>
      <w:bookmarkEnd w:id="0"/>
      <w:r>
        <w:rPr>
          <w:rFonts w:ascii="方正小标宋简体" w:eastAsia="方正小标宋简体" w:hAnsi="宋体" w:hint="eastAsia"/>
          <w:b/>
          <w:bCs/>
          <w:sz w:val="72"/>
          <w:szCs w:val="72"/>
        </w:rPr>
        <w:t>四川省</w:t>
      </w:r>
      <w:r>
        <w:rPr>
          <w:rFonts w:ascii="方正小标宋简体" w:eastAsia="方正小标宋简体" w:hAnsi="宋体" w:hint="eastAsia"/>
          <w:b/>
          <w:bCs/>
          <w:sz w:val="72"/>
          <w:szCs w:val="72"/>
        </w:rPr>
        <w:t>地矿局成都水文队</w:t>
      </w:r>
      <w:r>
        <w:rPr>
          <w:rFonts w:ascii="方正小标宋简体" w:eastAsia="方正小标宋简体" w:hAnsi="方正小标宋简体" w:cs="方正小标宋简体" w:hint="eastAsia"/>
          <w:sz w:val="72"/>
          <w:szCs w:val="72"/>
        </w:rPr>
        <w:t>单位</w:t>
      </w:r>
      <w:r>
        <w:rPr>
          <w:rFonts w:ascii="方正小标宋简体" w:eastAsia="方正小标宋简体" w:hAnsi="方正小标宋简体" w:cs="方正小标宋简体" w:hint="eastAsia"/>
          <w:sz w:val="72"/>
          <w:szCs w:val="72"/>
        </w:rPr>
        <w:t>决算</w:t>
      </w:r>
      <w:bookmarkEnd w:id="6"/>
      <w:bookmarkEnd w:id="7"/>
      <w:bookmarkEnd w:id="8"/>
      <w:bookmarkEnd w:id="9"/>
      <w:bookmarkEnd w:id="10"/>
      <w:bookmarkEnd w:id="11"/>
    </w:p>
    <w:p w:rsidR="00144130" w:rsidRDefault="00C1571D">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144130" w:rsidRDefault="00144130">
      <w:pPr>
        <w:widowControl/>
        <w:jc w:val="center"/>
        <w:rPr>
          <w:rFonts w:ascii="黑体" w:eastAsia="黑体" w:hAnsi="黑体" w:cstheme="minorBidi"/>
          <w:sz w:val="28"/>
          <w:szCs w:val="28"/>
        </w:rPr>
      </w:pPr>
    </w:p>
    <w:p w:rsidR="00144130" w:rsidRDefault="00C1571D">
      <w:pPr>
        <w:pStyle w:val="11"/>
      </w:pPr>
      <w:r>
        <w:rPr>
          <w:rFonts w:hint="eastAsia"/>
        </w:rPr>
        <w:t>公开时间：</w:t>
      </w:r>
      <w:r>
        <w:rPr>
          <w:rFonts w:hint="eastAsia"/>
        </w:rPr>
        <w:t>20</w:t>
      </w:r>
      <w:r>
        <w:rPr>
          <w:rFonts w:hint="eastAsia"/>
        </w:rPr>
        <w:t>22</w:t>
      </w:r>
      <w:r>
        <w:rPr>
          <w:rFonts w:hint="eastAsia"/>
        </w:rPr>
        <w:t>年</w:t>
      </w:r>
      <w:r>
        <w:rPr>
          <w:rFonts w:hint="eastAsia"/>
        </w:rPr>
        <w:t>9</w:t>
      </w:r>
      <w:r>
        <w:rPr>
          <w:rFonts w:hint="eastAsia"/>
        </w:rPr>
        <w:t>月</w:t>
      </w:r>
      <w:r>
        <w:rPr>
          <w:rFonts w:hint="eastAsia"/>
        </w:rPr>
        <w:t>9</w:t>
      </w:r>
      <w:r>
        <w:rPr>
          <w:rFonts w:hint="eastAsia"/>
        </w:rPr>
        <w:t>日</w:t>
      </w:r>
    </w:p>
    <w:p w:rsidR="00144130" w:rsidRDefault="00144130"/>
    <w:p w:rsidR="00144130" w:rsidRDefault="00C1571D">
      <w:pPr>
        <w:pStyle w:val="11"/>
        <w:adjustRightInd w:val="0"/>
        <w:snapToGrid w:val="0"/>
        <w:spacing w:before="0" w:line="440" w:lineRule="exact"/>
        <w:jc w:val="left"/>
        <w:rPr>
          <w:rFonts w:cstheme="minorBidi"/>
          <w:sz w:val="24"/>
          <w:szCs w:val="24"/>
        </w:rPr>
      </w:pPr>
      <w:r>
        <w:rPr>
          <w:rFonts w:hint="eastAsia"/>
          <w:sz w:val="24"/>
        </w:rPr>
        <w:t>第一部分</w:t>
      </w:r>
      <w:r>
        <w:rPr>
          <w:rFonts w:hint="eastAsia"/>
          <w:sz w:val="24"/>
        </w:rPr>
        <w:t>单位概况</w:t>
      </w:r>
      <w:r>
        <w:tab/>
      </w:r>
      <w:r>
        <w:rPr>
          <w:rFonts w:hint="eastAsia"/>
        </w:rPr>
        <w:t>1</w:t>
      </w:r>
    </w:p>
    <w:p w:rsidR="00144130" w:rsidRDefault="00C1571D">
      <w:pPr>
        <w:pStyle w:val="11"/>
        <w:adjustRightInd w:val="0"/>
        <w:snapToGrid w:val="0"/>
        <w:spacing w:before="0" w:line="440" w:lineRule="exact"/>
        <w:ind w:firstLineChars="100" w:firstLine="280"/>
        <w:jc w:val="left"/>
        <w:rPr>
          <w:sz w:val="24"/>
        </w:rPr>
      </w:pPr>
      <w:r>
        <w:rPr>
          <w:rFonts w:hint="eastAsia"/>
        </w:rPr>
        <w:t>一</w:t>
      </w:r>
      <w:r>
        <w:rPr>
          <w:rFonts w:hint="eastAsia"/>
          <w:sz w:val="24"/>
          <w:szCs w:val="24"/>
        </w:rPr>
        <w:t>、</w:t>
      </w:r>
      <w:r>
        <w:rPr>
          <w:rFonts w:asciiTheme="minorEastAsia" w:eastAsiaTheme="minorEastAsia" w:hAnsiTheme="minorEastAsia" w:cstheme="minorEastAsia" w:hint="eastAsia"/>
          <w:sz w:val="24"/>
          <w:szCs w:val="24"/>
        </w:rPr>
        <w:t>职能简介</w:t>
      </w:r>
      <w:r>
        <w:tab/>
      </w:r>
      <w:r>
        <w:rPr>
          <w:rFonts w:hint="eastAsia"/>
        </w:rPr>
        <w:t>1</w:t>
      </w:r>
    </w:p>
    <w:p w:rsidR="00144130" w:rsidRDefault="00C1571D">
      <w:pPr>
        <w:pStyle w:val="11"/>
        <w:adjustRightInd w:val="0"/>
        <w:snapToGrid w:val="0"/>
        <w:spacing w:before="0" w:line="440" w:lineRule="exact"/>
        <w:ind w:firstLineChars="100" w:firstLine="240"/>
        <w:jc w:val="left"/>
        <w:rPr>
          <w:rFonts w:asciiTheme="minorEastAsia" w:hAnsiTheme="minorEastAsia" w:cstheme="minorEastAsia"/>
          <w:sz w:val="24"/>
        </w:rPr>
      </w:pPr>
      <w:r>
        <w:rPr>
          <w:rFonts w:asciiTheme="minorEastAsia" w:eastAsiaTheme="minorEastAsia" w:hAnsiTheme="minorEastAsia" w:cstheme="minorEastAsia" w:hint="eastAsia"/>
          <w:sz w:val="24"/>
        </w:rPr>
        <w:t>二、</w:t>
      </w:r>
      <w:r>
        <w:rPr>
          <w:rFonts w:asciiTheme="minorEastAsia" w:eastAsiaTheme="minorEastAsia" w:hAnsiTheme="minorEastAsia" w:cstheme="minorEastAsia" w:hint="eastAsia"/>
          <w:sz w:val="24"/>
        </w:rPr>
        <w:t>2021</w:t>
      </w:r>
      <w:r>
        <w:rPr>
          <w:rFonts w:asciiTheme="minorEastAsia" w:eastAsiaTheme="minorEastAsia" w:hAnsiTheme="minorEastAsia" w:cstheme="minorEastAsia" w:hint="eastAsia"/>
          <w:sz w:val="24"/>
        </w:rPr>
        <w:t>年重点</w:t>
      </w:r>
      <w:r>
        <w:rPr>
          <w:rFonts w:asciiTheme="minorEastAsia" w:eastAsiaTheme="minorEastAsia" w:hAnsiTheme="minorEastAsia" w:cstheme="minorEastAsia" w:hint="eastAsia"/>
          <w:sz w:val="24"/>
        </w:rPr>
        <w:t>工作</w:t>
      </w:r>
      <w:r>
        <w:rPr>
          <w:rFonts w:asciiTheme="minorEastAsia" w:eastAsiaTheme="minorEastAsia" w:hAnsiTheme="minorEastAsia" w:cstheme="minorEastAsia" w:hint="eastAsia"/>
          <w:sz w:val="24"/>
        </w:rPr>
        <w:t>完成情况</w:t>
      </w:r>
      <w:r>
        <w:tab/>
      </w:r>
      <w:r>
        <w:rPr>
          <w:rFonts w:hint="eastAsia"/>
        </w:rPr>
        <w:t>1</w:t>
      </w:r>
    </w:p>
    <w:p w:rsidR="00144130" w:rsidRDefault="00C1571D">
      <w:pPr>
        <w:pStyle w:val="11"/>
        <w:adjustRightInd w:val="0"/>
        <w:snapToGrid w:val="0"/>
        <w:spacing w:before="0" w:line="440" w:lineRule="exact"/>
        <w:ind w:firstLineChars="100" w:firstLine="240"/>
        <w:jc w:val="left"/>
        <w:rPr>
          <w:sz w:val="24"/>
        </w:rPr>
      </w:pPr>
      <w:r>
        <w:rPr>
          <w:rFonts w:asciiTheme="minorEastAsia" w:eastAsiaTheme="minorEastAsia" w:hAnsiTheme="minorEastAsia" w:cstheme="minorEastAsia" w:hint="eastAsia"/>
          <w:sz w:val="24"/>
        </w:rPr>
        <w:t>三、</w:t>
      </w:r>
      <w:r>
        <w:rPr>
          <w:rFonts w:asciiTheme="minorEastAsia" w:eastAsiaTheme="minorEastAsia" w:hAnsiTheme="minorEastAsia" w:cstheme="minorEastAsia" w:hint="eastAsia"/>
          <w:sz w:val="24"/>
        </w:rPr>
        <w:t>机构设置</w:t>
      </w:r>
      <w:r>
        <w:rPr>
          <w:rFonts w:asciiTheme="minorEastAsia" w:eastAsiaTheme="minorEastAsia" w:hAnsiTheme="minorEastAsia" w:cstheme="minorEastAsia" w:hint="eastAsia"/>
          <w:sz w:val="24"/>
        </w:rPr>
        <w:t>情况</w:t>
      </w:r>
      <w:r>
        <w:tab/>
      </w:r>
      <w:r>
        <w:rPr>
          <w:rFonts w:hint="eastAsia"/>
        </w:rPr>
        <w:t>2</w:t>
      </w:r>
    </w:p>
    <w:p w:rsidR="00144130" w:rsidRDefault="00C1571D">
      <w:pPr>
        <w:pStyle w:val="11"/>
        <w:adjustRightInd w:val="0"/>
        <w:snapToGrid w:val="0"/>
        <w:spacing w:before="0" w:line="440" w:lineRule="exact"/>
        <w:jc w:val="left"/>
        <w:rPr>
          <w:sz w:val="24"/>
          <w:szCs w:val="24"/>
        </w:rPr>
      </w:pPr>
      <w:r>
        <w:rPr>
          <w:rFonts w:hint="eastAsia"/>
          <w:sz w:val="24"/>
        </w:rPr>
        <w:t>第二部分</w:t>
      </w:r>
      <w:r>
        <w:rPr>
          <w:rFonts w:hint="eastAsia"/>
          <w:sz w:val="24"/>
        </w:rPr>
        <w:t xml:space="preserve"> 2021</w:t>
      </w:r>
      <w:r>
        <w:rPr>
          <w:rFonts w:hint="eastAsia"/>
          <w:sz w:val="24"/>
        </w:rPr>
        <w:t>年度</w:t>
      </w:r>
      <w:r>
        <w:rPr>
          <w:rFonts w:hint="eastAsia"/>
          <w:sz w:val="24"/>
        </w:rPr>
        <w:t>单位</w:t>
      </w:r>
      <w:r>
        <w:rPr>
          <w:rFonts w:hint="eastAsia"/>
          <w:sz w:val="24"/>
        </w:rPr>
        <w:t>决算情况说明</w:t>
      </w:r>
      <w:r>
        <w:tab/>
      </w:r>
      <w:r>
        <w:rPr>
          <w:rFonts w:hint="eastAsia"/>
        </w:rPr>
        <w:t>3</w:t>
      </w:r>
    </w:p>
    <w:p w:rsidR="00144130" w:rsidRDefault="00C1571D">
      <w:pPr>
        <w:pStyle w:val="11"/>
        <w:adjustRightInd w:val="0"/>
        <w:snapToGrid w:val="0"/>
        <w:spacing w:before="0" w:line="440" w:lineRule="exact"/>
        <w:ind w:firstLineChars="100" w:firstLine="240"/>
        <w:jc w:val="left"/>
        <w:rPr>
          <w:rFonts w:cstheme="minorBidi"/>
          <w:sz w:val="24"/>
        </w:rPr>
      </w:pPr>
      <w:r>
        <w:rPr>
          <w:rFonts w:ascii="Times New Roman" w:eastAsia="宋体" w:hAnsi="Times New Roman" w:hint="eastAsia"/>
          <w:sz w:val="24"/>
          <w:szCs w:val="24"/>
        </w:rPr>
        <w:t>一、收入支出决算总体情况说明</w:t>
      </w:r>
      <w:r>
        <w:tab/>
      </w:r>
      <w:r>
        <w:rPr>
          <w:rFonts w:hint="eastAsia"/>
        </w:rPr>
        <w:t>3</w:t>
      </w:r>
    </w:p>
    <w:p w:rsidR="00144130" w:rsidRDefault="00C1571D">
      <w:pPr>
        <w:pStyle w:val="11"/>
        <w:adjustRightInd w:val="0"/>
        <w:snapToGrid w:val="0"/>
        <w:spacing w:before="0" w:line="440" w:lineRule="exact"/>
        <w:ind w:firstLineChars="100" w:firstLine="240"/>
        <w:jc w:val="left"/>
        <w:rPr>
          <w:rFonts w:cstheme="minorBidi"/>
          <w:sz w:val="24"/>
        </w:rPr>
      </w:pPr>
      <w:r>
        <w:rPr>
          <w:rFonts w:ascii="Times New Roman" w:eastAsia="宋体" w:hAnsi="Times New Roman" w:hint="eastAsia"/>
          <w:sz w:val="24"/>
          <w:szCs w:val="24"/>
        </w:rPr>
        <w:t>二、收入决算情况说明</w:t>
      </w:r>
      <w:r>
        <w:tab/>
      </w:r>
      <w:r>
        <w:rPr>
          <w:rFonts w:hint="eastAsia"/>
        </w:rPr>
        <w:t>3</w:t>
      </w:r>
    </w:p>
    <w:p w:rsidR="00144130" w:rsidRDefault="00C1571D">
      <w:pPr>
        <w:pStyle w:val="11"/>
        <w:adjustRightInd w:val="0"/>
        <w:snapToGrid w:val="0"/>
        <w:spacing w:before="0" w:line="440" w:lineRule="exact"/>
        <w:ind w:firstLineChars="100" w:firstLine="240"/>
        <w:jc w:val="left"/>
        <w:rPr>
          <w:rFonts w:cstheme="minorBidi"/>
          <w:sz w:val="24"/>
        </w:rPr>
      </w:pPr>
      <w:r>
        <w:rPr>
          <w:rFonts w:ascii="Times New Roman" w:eastAsia="宋体" w:hAnsi="Times New Roman" w:hint="eastAsia"/>
          <w:sz w:val="24"/>
          <w:szCs w:val="24"/>
        </w:rPr>
        <w:t>三、支出决算情况说明</w:t>
      </w:r>
      <w:r>
        <w:tab/>
      </w:r>
      <w:r>
        <w:rPr>
          <w:rFonts w:hint="eastAsia"/>
        </w:rPr>
        <w:t>4</w:t>
      </w:r>
    </w:p>
    <w:p w:rsidR="00144130" w:rsidRDefault="00C1571D">
      <w:pPr>
        <w:pStyle w:val="11"/>
        <w:adjustRightInd w:val="0"/>
        <w:snapToGrid w:val="0"/>
        <w:spacing w:before="0" w:line="440" w:lineRule="exact"/>
        <w:ind w:firstLineChars="100" w:firstLine="240"/>
        <w:jc w:val="left"/>
        <w:rPr>
          <w:rFonts w:cstheme="minorBidi"/>
          <w:sz w:val="24"/>
        </w:rPr>
      </w:pPr>
      <w:r>
        <w:rPr>
          <w:rFonts w:ascii="Times New Roman" w:eastAsia="宋体" w:hAnsi="Times New Roman" w:hint="eastAsia"/>
          <w:sz w:val="24"/>
          <w:szCs w:val="24"/>
        </w:rPr>
        <w:t>四、财政拨款收入支出决算总体情况说明</w:t>
      </w:r>
      <w:r>
        <w:tab/>
      </w:r>
      <w:r>
        <w:rPr>
          <w:rFonts w:hint="eastAsia"/>
        </w:rPr>
        <w:t>5</w:t>
      </w:r>
    </w:p>
    <w:p w:rsidR="00144130" w:rsidRDefault="00C1571D">
      <w:pPr>
        <w:pStyle w:val="11"/>
        <w:adjustRightInd w:val="0"/>
        <w:snapToGrid w:val="0"/>
        <w:spacing w:before="0" w:line="440" w:lineRule="exact"/>
        <w:ind w:firstLineChars="100" w:firstLine="240"/>
        <w:jc w:val="left"/>
        <w:rPr>
          <w:rFonts w:cstheme="minorBidi"/>
          <w:sz w:val="24"/>
        </w:rPr>
      </w:pPr>
      <w:r>
        <w:rPr>
          <w:rFonts w:ascii="Times New Roman" w:eastAsia="宋体" w:hAnsi="Times New Roman" w:hint="eastAsia"/>
          <w:sz w:val="24"/>
          <w:szCs w:val="24"/>
        </w:rPr>
        <w:t>五、一般公共预算财政拨款支出决算情况说明</w:t>
      </w:r>
      <w:r>
        <w:tab/>
      </w:r>
      <w:r>
        <w:rPr>
          <w:rFonts w:hint="eastAsia"/>
        </w:rPr>
        <w:t>5</w:t>
      </w:r>
    </w:p>
    <w:p w:rsidR="00144130" w:rsidRDefault="00C1571D">
      <w:pPr>
        <w:pStyle w:val="11"/>
        <w:adjustRightInd w:val="0"/>
        <w:snapToGrid w:val="0"/>
        <w:spacing w:before="0" w:line="440" w:lineRule="exact"/>
        <w:ind w:firstLineChars="100" w:firstLine="240"/>
        <w:jc w:val="left"/>
        <w:rPr>
          <w:rFonts w:cstheme="minorBidi"/>
          <w:sz w:val="24"/>
        </w:rPr>
      </w:pPr>
      <w:r>
        <w:rPr>
          <w:rFonts w:ascii="Times New Roman" w:eastAsia="宋体" w:hAnsi="Times New Roman" w:hint="eastAsia"/>
          <w:sz w:val="24"/>
          <w:szCs w:val="24"/>
        </w:rPr>
        <w:t>六、一般公共预算财政拨款基本支出决算情况说明</w:t>
      </w:r>
      <w:r>
        <w:tab/>
      </w:r>
      <w:r>
        <w:rPr>
          <w:rFonts w:hint="eastAsia"/>
        </w:rPr>
        <w:t>8</w:t>
      </w:r>
    </w:p>
    <w:p w:rsidR="00144130" w:rsidRDefault="00C1571D">
      <w:pPr>
        <w:pStyle w:val="11"/>
        <w:adjustRightInd w:val="0"/>
        <w:snapToGrid w:val="0"/>
        <w:spacing w:before="0" w:line="440" w:lineRule="exact"/>
        <w:ind w:firstLineChars="100" w:firstLine="240"/>
        <w:jc w:val="left"/>
        <w:rPr>
          <w:rFonts w:cstheme="minorBidi"/>
          <w:sz w:val="24"/>
        </w:rPr>
      </w:pPr>
      <w:r>
        <w:rPr>
          <w:rFonts w:ascii="Times New Roman" w:eastAsia="宋体" w:hAnsi="Times New Roman" w:hint="eastAsia"/>
          <w:sz w:val="24"/>
          <w:szCs w:val="24"/>
        </w:rPr>
        <w:t>七、“三公”经费财政拨款支出决算情况说明</w:t>
      </w:r>
      <w:r>
        <w:tab/>
      </w:r>
      <w:r>
        <w:rPr>
          <w:rFonts w:hint="eastAsia"/>
        </w:rPr>
        <w:t>9</w:t>
      </w:r>
    </w:p>
    <w:p w:rsidR="00144130" w:rsidRDefault="00C1571D">
      <w:pPr>
        <w:pStyle w:val="11"/>
        <w:adjustRightInd w:val="0"/>
        <w:snapToGrid w:val="0"/>
        <w:spacing w:before="0" w:line="440" w:lineRule="exact"/>
        <w:ind w:firstLineChars="100" w:firstLine="240"/>
        <w:jc w:val="left"/>
        <w:rPr>
          <w:rFonts w:cstheme="minorBidi"/>
          <w:sz w:val="24"/>
        </w:rPr>
      </w:pPr>
      <w:r>
        <w:rPr>
          <w:rFonts w:ascii="Times New Roman" w:eastAsia="宋体" w:hAnsi="Times New Roman" w:hint="eastAsia"/>
          <w:sz w:val="24"/>
          <w:szCs w:val="24"/>
        </w:rPr>
        <w:t>八、政府性基金预算支出决算情况说明</w:t>
      </w:r>
      <w:r>
        <w:tab/>
      </w:r>
      <w:r>
        <w:rPr>
          <w:rFonts w:hint="eastAsia"/>
        </w:rPr>
        <w:t>9</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九、国有资本经营预算支出决算情况说明</w:t>
      </w:r>
      <w:r>
        <w:tab/>
      </w:r>
      <w:r>
        <w:rPr>
          <w:rFonts w:hint="eastAsia"/>
        </w:rPr>
        <w:t>9</w:t>
      </w:r>
    </w:p>
    <w:p w:rsidR="00144130" w:rsidRDefault="00C1571D">
      <w:pPr>
        <w:pStyle w:val="11"/>
        <w:adjustRightInd w:val="0"/>
        <w:snapToGrid w:val="0"/>
        <w:spacing w:before="0" w:line="440" w:lineRule="exact"/>
        <w:ind w:firstLineChars="100" w:firstLine="240"/>
        <w:jc w:val="left"/>
      </w:pPr>
      <w:r>
        <w:rPr>
          <w:rFonts w:ascii="Times New Roman" w:eastAsia="宋体" w:hAnsi="Times New Roman" w:hint="eastAsia"/>
          <w:sz w:val="24"/>
          <w:szCs w:val="24"/>
        </w:rPr>
        <w:t>十、其他重要事项的情况说明</w:t>
      </w:r>
      <w:r>
        <w:rPr>
          <w:rFonts w:hint="eastAsia"/>
        </w:rPr>
        <w:tab/>
        <w:t>9</w:t>
      </w:r>
    </w:p>
    <w:p w:rsidR="00144130" w:rsidRDefault="00C1571D">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tab/>
      </w:r>
      <w:r>
        <w:rPr>
          <w:rFonts w:hint="eastAsia"/>
        </w:rPr>
        <w:t>11</w:t>
      </w:r>
    </w:p>
    <w:p w:rsidR="00144130" w:rsidRDefault="00C1571D">
      <w:pPr>
        <w:pStyle w:val="11"/>
        <w:adjustRightInd w:val="0"/>
        <w:snapToGrid w:val="0"/>
        <w:spacing w:before="0" w:line="440" w:lineRule="exact"/>
        <w:jc w:val="left"/>
        <w:rPr>
          <w:sz w:val="24"/>
        </w:rPr>
      </w:pPr>
      <w:r>
        <w:rPr>
          <w:rFonts w:hint="eastAsia"/>
          <w:sz w:val="24"/>
        </w:rPr>
        <w:t>第四部分</w:t>
      </w:r>
      <w:r>
        <w:rPr>
          <w:sz w:val="24"/>
        </w:rPr>
        <w:t xml:space="preserve"> </w:t>
      </w:r>
      <w:r>
        <w:rPr>
          <w:rFonts w:hint="eastAsia"/>
          <w:sz w:val="24"/>
        </w:rPr>
        <w:t>附件</w:t>
      </w:r>
      <w:r>
        <w:tab/>
      </w:r>
      <w:r>
        <w:rPr>
          <w:rFonts w:hint="eastAsia"/>
        </w:rPr>
        <w:t>13</w:t>
      </w:r>
    </w:p>
    <w:p w:rsidR="00144130" w:rsidRDefault="00C1571D">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tab/>
      </w:r>
      <w:r>
        <w:rPr>
          <w:rFonts w:hint="eastAsia"/>
        </w:rPr>
        <w:t>15</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一、收入支出决算总表</w:t>
      </w:r>
      <w:r>
        <w:tab/>
      </w:r>
      <w:r>
        <w:rPr>
          <w:rFonts w:hint="eastAsia"/>
        </w:rPr>
        <w:t>15</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二、收入决算表</w:t>
      </w:r>
      <w:r>
        <w:tab/>
      </w:r>
      <w:r>
        <w:rPr>
          <w:rFonts w:hint="eastAsia"/>
        </w:rPr>
        <w:t>15</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三、支出决算表</w:t>
      </w:r>
      <w:r>
        <w:tab/>
      </w:r>
      <w:r>
        <w:rPr>
          <w:rFonts w:hint="eastAsia"/>
        </w:rPr>
        <w:t>15</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四、财政拨款收入支出决算总表</w:t>
      </w:r>
      <w:r>
        <w:tab/>
      </w:r>
      <w:r>
        <w:rPr>
          <w:rFonts w:hint="eastAsia"/>
        </w:rPr>
        <w:t>15</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五、财政拨款支出决算明细表</w:t>
      </w:r>
      <w:r>
        <w:tab/>
      </w:r>
      <w:r>
        <w:rPr>
          <w:rFonts w:hint="eastAsia"/>
        </w:rPr>
        <w:t>15</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六、一般公共预算财政拨款支出决算表</w:t>
      </w:r>
      <w:r>
        <w:tab/>
      </w:r>
      <w:r>
        <w:rPr>
          <w:rFonts w:hint="eastAsia"/>
        </w:rPr>
        <w:t>15</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七、一般公共预算财政拨款支出决算明细表</w:t>
      </w:r>
      <w:r>
        <w:tab/>
      </w:r>
      <w:r>
        <w:rPr>
          <w:rFonts w:hint="eastAsia"/>
        </w:rPr>
        <w:t>15</w:t>
      </w:r>
    </w:p>
    <w:p w:rsidR="00144130" w:rsidRDefault="00C1571D">
      <w:pPr>
        <w:pStyle w:val="11"/>
        <w:adjustRightInd w:val="0"/>
        <w:snapToGrid w:val="0"/>
        <w:spacing w:before="0" w:line="440" w:lineRule="exact"/>
        <w:ind w:firstLineChars="100" w:firstLine="240"/>
        <w:jc w:val="left"/>
        <w:rPr>
          <w:rFonts w:eastAsia="宋体"/>
          <w:sz w:val="24"/>
        </w:rPr>
      </w:pPr>
      <w:r>
        <w:rPr>
          <w:rFonts w:ascii="Times New Roman" w:eastAsia="宋体" w:hAnsi="Times New Roman" w:hint="eastAsia"/>
          <w:sz w:val="24"/>
          <w:szCs w:val="24"/>
        </w:rPr>
        <w:t>八、一般公共预算财政拨款基本支出决算表</w:t>
      </w:r>
      <w:r>
        <w:tab/>
      </w:r>
      <w:r>
        <w:rPr>
          <w:rFonts w:hint="eastAsia"/>
        </w:rPr>
        <w:t>15</w:t>
      </w:r>
    </w:p>
    <w:p w:rsidR="00144130" w:rsidRDefault="00144130">
      <w:pPr>
        <w:pStyle w:val="21"/>
        <w:adjustRightInd w:val="0"/>
        <w:snapToGrid w:val="0"/>
        <w:spacing w:line="440" w:lineRule="exact"/>
        <w:jc w:val="left"/>
        <w:rPr>
          <w:sz w:val="24"/>
        </w:rPr>
      </w:pP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九、一般公共预算财政拨款项目支出决算表</w:t>
      </w:r>
      <w:r>
        <w:tab/>
      </w:r>
      <w:r>
        <w:rPr>
          <w:rFonts w:hint="eastAsia"/>
        </w:rPr>
        <w:t>15</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十、一般公共预算财政拨款“三公”经费支出决算表</w:t>
      </w:r>
      <w:r>
        <w:tab/>
      </w:r>
      <w:r>
        <w:rPr>
          <w:rFonts w:hint="eastAsia"/>
        </w:rPr>
        <w:t>15</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十一、政府性基金预算财政拨款收入支出决算表</w:t>
      </w:r>
      <w:r>
        <w:tab/>
      </w:r>
      <w:r>
        <w:rPr>
          <w:rFonts w:hint="eastAsia"/>
        </w:rPr>
        <w:t>15</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十二、政府性基金预算财政拨款“三公”经费支出决算表</w:t>
      </w:r>
      <w:r>
        <w:tab/>
      </w:r>
      <w:r>
        <w:rPr>
          <w:rFonts w:hint="eastAsia"/>
        </w:rPr>
        <w:t>15</w:t>
      </w:r>
    </w:p>
    <w:p w:rsidR="00144130" w:rsidRDefault="00C1571D">
      <w:pPr>
        <w:pStyle w:val="11"/>
        <w:adjustRightInd w:val="0"/>
        <w:snapToGrid w:val="0"/>
        <w:spacing w:before="0" w:line="440" w:lineRule="exact"/>
        <w:ind w:firstLineChars="100" w:firstLine="240"/>
        <w:jc w:val="left"/>
        <w:rPr>
          <w:sz w:val="24"/>
        </w:rPr>
      </w:pPr>
      <w:r>
        <w:rPr>
          <w:rFonts w:ascii="Times New Roman" w:eastAsia="宋体" w:hAnsi="Times New Roman" w:hint="eastAsia"/>
          <w:sz w:val="24"/>
          <w:szCs w:val="24"/>
        </w:rPr>
        <w:t>十三、国有资本经营预算财政拨款收入支出决算表</w:t>
      </w:r>
      <w:r>
        <w:tab/>
      </w:r>
      <w:r>
        <w:rPr>
          <w:rFonts w:hint="eastAsia"/>
        </w:rPr>
        <w:t>15</w:t>
      </w:r>
    </w:p>
    <w:p w:rsidR="00144130" w:rsidRDefault="00C1571D">
      <w:pPr>
        <w:pStyle w:val="11"/>
        <w:adjustRightInd w:val="0"/>
        <w:snapToGrid w:val="0"/>
        <w:spacing w:before="0" w:line="440" w:lineRule="exact"/>
        <w:ind w:firstLineChars="100" w:firstLine="240"/>
        <w:jc w:val="left"/>
        <w:rPr>
          <w:rFonts w:eastAsia="宋体"/>
          <w:sz w:val="24"/>
        </w:rPr>
      </w:pPr>
      <w:r>
        <w:rPr>
          <w:rFonts w:ascii="Times New Roman" w:eastAsia="宋体" w:hAnsi="Times New Roman" w:hint="eastAsia"/>
          <w:sz w:val="24"/>
          <w:szCs w:val="24"/>
        </w:rPr>
        <w:t>十四、国有资本经营预算财政拨款支出决算表</w:t>
      </w:r>
      <w:r>
        <w:tab/>
      </w:r>
      <w:r>
        <w:rPr>
          <w:rFonts w:hint="eastAsia"/>
        </w:rPr>
        <w:t>15</w:t>
      </w:r>
    </w:p>
    <w:p w:rsidR="00144130" w:rsidRDefault="00144130">
      <w:pPr>
        <w:pStyle w:val="1"/>
        <w:jc w:val="center"/>
        <w:rPr>
          <w:rFonts w:ascii="黑体" w:eastAsia="黑体" w:hAnsi="黑体"/>
          <w:b w:val="0"/>
        </w:rPr>
        <w:sectPr w:rsidR="00144130">
          <w:headerReference w:type="default" r:id="rId8"/>
          <w:footerReference w:type="default" r:id="rId9"/>
          <w:pgSz w:w="11906" w:h="16838"/>
          <w:pgMar w:top="1440" w:right="1800" w:bottom="1440" w:left="1800" w:header="851" w:footer="992" w:gutter="0"/>
          <w:pgNumType w:start="1"/>
          <w:cols w:space="425"/>
          <w:titlePg/>
          <w:docGrid w:type="lines" w:linePitch="312"/>
        </w:sectPr>
      </w:pPr>
      <w:bookmarkStart w:id="12" w:name="_Toc15396599"/>
      <w:bookmarkStart w:id="13" w:name="_Toc15377196"/>
    </w:p>
    <w:p w:rsidR="00144130" w:rsidRDefault="00C1571D">
      <w:pPr>
        <w:pStyle w:val="1"/>
        <w:jc w:val="center"/>
        <w:rPr>
          <w:rFonts w:ascii="黑体" w:eastAsia="黑体"/>
          <w:sz w:val="32"/>
          <w:szCs w:val="32"/>
        </w:rPr>
      </w:pPr>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0"/>
          <w:rFonts w:ascii="黑体" w:eastAsia="黑体" w:hAnsi="黑体" w:hint="eastAsia"/>
        </w:rPr>
        <w:t>概况</w:t>
      </w:r>
      <w:bookmarkEnd w:id="12"/>
      <w:bookmarkEnd w:id="13"/>
    </w:p>
    <w:p w:rsidR="00144130" w:rsidRDefault="00C1571D">
      <w:pPr>
        <w:pStyle w:val="2"/>
        <w:numPr>
          <w:ilvl w:val="0"/>
          <w:numId w:val="1"/>
        </w:numPr>
        <w:rPr>
          <w:rStyle w:val="20"/>
          <w:rFonts w:ascii="黑体" w:eastAsia="黑体" w:hAnsi="黑体"/>
        </w:rPr>
      </w:pPr>
      <w:bookmarkStart w:id="14" w:name="_Toc15396600"/>
      <w:bookmarkStart w:id="15" w:name="_Toc15377197"/>
      <w:r>
        <w:rPr>
          <w:rStyle w:val="20"/>
          <w:rFonts w:ascii="黑体" w:eastAsia="黑体" w:hAnsi="黑体" w:hint="eastAsia"/>
        </w:rPr>
        <w:t>职能</w:t>
      </w:r>
      <w:r>
        <w:rPr>
          <w:rStyle w:val="20"/>
          <w:rFonts w:ascii="黑体" w:eastAsia="黑体" w:hAnsi="黑体" w:hint="eastAsia"/>
        </w:rPr>
        <w:t>简介</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主要职能：本单位主要担负为国家建设提供地矿勘查服务</w:t>
      </w:r>
      <w:r>
        <w:rPr>
          <w:rFonts w:ascii="仿宋" w:eastAsia="仿宋" w:hAnsi="仿宋" w:hint="eastAsia"/>
          <w:sz w:val="32"/>
          <w:szCs w:val="32"/>
        </w:rPr>
        <w:t>,</w:t>
      </w:r>
      <w:r>
        <w:rPr>
          <w:rFonts w:ascii="仿宋" w:eastAsia="仿宋" w:hAnsi="仿宋" w:hint="eastAsia"/>
          <w:sz w:val="32"/>
          <w:szCs w:val="32"/>
        </w:rPr>
        <w:t>承担水文地质、工程地质勘查、水及地热井钻探、桩基、地下连续墙、软弱地基、</w:t>
      </w:r>
      <w:proofErr w:type="gramStart"/>
      <w:r>
        <w:rPr>
          <w:rFonts w:ascii="仿宋" w:eastAsia="仿宋" w:hAnsi="仿宋" w:hint="eastAsia"/>
          <w:sz w:val="32"/>
          <w:szCs w:val="32"/>
        </w:rPr>
        <w:t>特</w:t>
      </w:r>
      <w:proofErr w:type="gramEnd"/>
      <w:r>
        <w:rPr>
          <w:rFonts w:ascii="仿宋" w:eastAsia="仿宋" w:hAnsi="仿宋" w:hint="eastAsia"/>
          <w:sz w:val="32"/>
          <w:szCs w:val="32"/>
        </w:rPr>
        <w:t>钟钻凿工程施工、开展技术咨询服务等。</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机构情况：本单位是一家独立编制、独立核算的事业单位，机构无变动情况。</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人员情况：本单位</w:t>
      </w: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年度年末在职人员</w:t>
      </w:r>
      <w:r>
        <w:rPr>
          <w:rFonts w:ascii="仿宋" w:eastAsia="仿宋" w:hAnsi="仿宋" w:hint="eastAsia"/>
          <w:sz w:val="32"/>
          <w:szCs w:val="32"/>
        </w:rPr>
        <w:t>503</w:t>
      </w:r>
      <w:r>
        <w:rPr>
          <w:rFonts w:ascii="仿宋" w:eastAsia="仿宋" w:hAnsi="仿宋" w:hint="eastAsia"/>
          <w:sz w:val="32"/>
          <w:szCs w:val="32"/>
        </w:rPr>
        <w:t>人，较上年度减少</w:t>
      </w:r>
      <w:r>
        <w:rPr>
          <w:rFonts w:ascii="仿宋" w:eastAsia="仿宋" w:hAnsi="仿宋" w:hint="eastAsia"/>
          <w:sz w:val="32"/>
          <w:szCs w:val="32"/>
        </w:rPr>
        <w:t>1</w:t>
      </w:r>
      <w:r>
        <w:rPr>
          <w:rFonts w:ascii="仿宋" w:eastAsia="仿宋" w:hAnsi="仿宋" w:hint="eastAsia"/>
          <w:sz w:val="32"/>
          <w:szCs w:val="32"/>
        </w:rPr>
        <w:t>7</w:t>
      </w:r>
      <w:r>
        <w:rPr>
          <w:rFonts w:ascii="仿宋" w:eastAsia="仿宋" w:hAnsi="仿宋" w:hint="eastAsia"/>
          <w:sz w:val="32"/>
          <w:szCs w:val="32"/>
        </w:rPr>
        <w:t>人，离休人员</w:t>
      </w:r>
      <w:r>
        <w:rPr>
          <w:rFonts w:ascii="仿宋" w:eastAsia="仿宋" w:hAnsi="仿宋" w:hint="eastAsia"/>
          <w:sz w:val="32"/>
          <w:szCs w:val="32"/>
        </w:rPr>
        <w:t>3</w:t>
      </w:r>
      <w:r>
        <w:rPr>
          <w:rFonts w:ascii="仿宋" w:eastAsia="仿宋" w:hAnsi="仿宋" w:hint="eastAsia"/>
          <w:sz w:val="32"/>
          <w:szCs w:val="32"/>
        </w:rPr>
        <w:t>人，较上年度减少</w:t>
      </w:r>
      <w:r>
        <w:rPr>
          <w:rFonts w:ascii="仿宋" w:eastAsia="仿宋" w:hAnsi="仿宋" w:hint="eastAsia"/>
          <w:sz w:val="32"/>
          <w:szCs w:val="32"/>
        </w:rPr>
        <w:t>2</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均为按政策正常增减差额形成。</w:t>
      </w:r>
    </w:p>
    <w:p w:rsidR="00144130" w:rsidRDefault="00C1571D">
      <w:pPr>
        <w:pStyle w:val="2"/>
        <w:rPr>
          <w:rFonts w:ascii="黑体" w:eastAsia="黑体" w:hAnsi="黑体"/>
          <w:b w:val="0"/>
        </w:rPr>
      </w:pPr>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w:t>
      </w:r>
      <w:r>
        <w:rPr>
          <w:rFonts w:ascii="黑体" w:eastAsia="黑体" w:hAnsi="黑体" w:hint="eastAsia"/>
          <w:b w:val="0"/>
        </w:rPr>
        <w:t>工作</w:t>
      </w:r>
      <w:bookmarkEnd w:id="14"/>
      <w:bookmarkEnd w:id="15"/>
      <w:r>
        <w:rPr>
          <w:rFonts w:ascii="黑体" w:eastAsia="黑体" w:hAnsi="黑体" w:hint="eastAsia"/>
          <w:b w:val="0"/>
        </w:rPr>
        <w:t>完成情况</w:t>
      </w:r>
    </w:p>
    <w:p w:rsidR="00144130" w:rsidRDefault="00C1571D">
      <w:pPr>
        <w:ind w:firstLineChars="200" w:firstLine="420"/>
        <w:rPr>
          <w:rFonts w:ascii="仿宋" w:eastAsia="仿宋" w:hAnsi="仿宋"/>
          <w:sz w:val="32"/>
          <w:szCs w:val="32"/>
        </w:rPr>
      </w:pPr>
      <w:r>
        <w:rPr>
          <w:rFonts w:ascii="黑体" w:eastAsia="黑体" w:hAnsi="黑体" w:hint="eastAsia"/>
        </w:rPr>
        <w:t xml:space="preserve">  </w:t>
      </w:r>
      <w:r>
        <w:rPr>
          <w:rFonts w:ascii="仿宋" w:eastAsia="仿宋" w:hAnsi="仿宋" w:hint="eastAsia"/>
          <w:sz w:val="32"/>
          <w:szCs w:val="32"/>
        </w:rPr>
        <w:t>1.</w:t>
      </w:r>
      <w:r>
        <w:rPr>
          <w:rFonts w:ascii="仿宋" w:eastAsia="仿宋" w:hAnsi="仿宋" w:hint="eastAsia"/>
          <w:sz w:val="32"/>
          <w:szCs w:val="32"/>
        </w:rPr>
        <w:t>坚持党的全面领导，</w:t>
      </w:r>
      <w:r>
        <w:rPr>
          <w:rFonts w:ascii="仿宋" w:eastAsia="仿宋" w:hAnsi="仿宋"/>
          <w:sz w:val="32"/>
          <w:szCs w:val="32"/>
        </w:rPr>
        <w:t>围绕</w:t>
      </w:r>
      <w:r>
        <w:rPr>
          <w:rFonts w:ascii="仿宋" w:eastAsia="仿宋" w:hAnsi="仿宋"/>
          <w:sz w:val="32"/>
          <w:szCs w:val="32"/>
        </w:rPr>
        <w:t>“</w:t>
      </w:r>
      <w:r>
        <w:rPr>
          <w:rFonts w:ascii="仿宋" w:eastAsia="仿宋" w:hAnsi="仿宋"/>
          <w:sz w:val="32"/>
          <w:szCs w:val="32"/>
        </w:rPr>
        <w:t>学党史、悟思想、办实事、开新局</w:t>
      </w:r>
      <w:r>
        <w:rPr>
          <w:rFonts w:ascii="仿宋" w:eastAsia="仿宋" w:hAnsi="仿宋"/>
          <w:sz w:val="32"/>
          <w:szCs w:val="32"/>
        </w:rPr>
        <w:t>”</w:t>
      </w:r>
      <w:r>
        <w:rPr>
          <w:rFonts w:ascii="仿宋" w:eastAsia="仿宋" w:hAnsi="仿宋"/>
          <w:sz w:val="32"/>
          <w:szCs w:val="32"/>
        </w:rPr>
        <w:t>目标要求，</w:t>
      </w:r>
      <w:r>
        <w:rPr>
          <w:rFonts w:ascii="仿宋" w:eastAsia="仿宋" w:hAnsi="仿宋" w:hint="eastAsia"/>
          <w:sz w:val="32"/>
          <w:szCs w:val="32"/>
        </w:rPr>
        <w:t>统筹</w:t>
      </w:r>
      <w:r>
        <w:rPr>
          <w:rFonts w:ascii="仿宋" w:eastAsia="仿宋" w:hAnsi="仿宋"/>
          <w:sz w:val="32"/>
          <w:szCs w:val="32"/>
        </w:rPr>
        <w:t>做好疫情常态化防</w:t>
      </w:r>
      <w:r>
        <w:rPr>
          <w:rFonts w:ascii="仿宋" w:eastAsia="仿宋" w:hAnsi="仿宋" w:hint="eastAsia"/>
          <w:sz w:val="32"/>
          <w:szCs w:val="32"/>
        </w:rPr>
        <w:t>控，</w:t>
      </w:r>
      <w:r>
        <w:rPr>
          <w:rFonts w:ascii="仿宋" w:eastAsia="仿宋" w:hAnsi="仿宋"/>
          <w:sz w:val="32"/>
          <w:szCs w:val="32"/>
        </w:rPr>
        <w:t>凝</w:t>
      </w:r>
      <w:r>
        <w:rPr>
          <w:rFonts w:ascii="仿宋" w:eastAsia="仿宋" w:hAnsi="仿宋" w:hint="eastAsia"/>
          <w:sz w:val="32"/>
          <w:szCs w:val="32"/>
        </w:rPr>
        <w:t>心</w:t>
      </w:r>
      <w:r>
        <w:rPr>
          <w:rFonts w:ascii="仿宋" w:eastAsia="仿宋" w:hAnsi="仿宋"/>
          <w:sz w:val="32"/>
          <w:szCs w:val="32"/>
        </w:rPr>
        <w:t>聚</w:t>
      </w:r>
      <w:r>
        <w:rPr>
          <w:rFonts w:ascii="仿宋" w:eastAsia="仿宋" w:hAnsi="仿宋" w:hint="eastAsia"/>
          <w:sz w:val="32"/>
          <w:szCs w:val="32"/>
        </w:rPr>
        <w:t>气</w:t>
      </w:r>
      <w:r>
        <w:rPr>
          <w:rFonts w:ascii="仿宋" w:eastAsia="仿宋" w:hAnsi="仿宋"/>
          <w:sz w:val="32"/>
          <w:szCs w:val="32"/>
        </w:rPr>
        <w:t>，为地勘经济高质量发展注入强大动能</w:t>
      </w:r>
      <w:r>
        <w:rPr>
          <w:rFonts w:ascii="仿宋" w:eastAsia="仿宋" w:hAnsi="仿宋" w:hint="eastAsia"/>
          <w:sz w:val="32"/>
          <w:szCs w:val="32"/>
        </w:rPr>
        <w:t>，实现党建与经营工作同频共振、同向发力，助力全队各项工作取得显著成效。</w:t>
      </w:r>
    </w:p>
    <w:p w:rsidR="00144130" w:rsidRDefault="00C1571D">
      <w:pPr>
        <w:ind w:firstLineChars="200" w:firstLine="640"/>
        <w:rPr>
          <w:rFonts w:ascii="仿宋" w:eastAsia="仿宋" w:hAnsi="仿宋"/>
          <w:sz w:val="32"/>
          <w:szCs w:val="32"/>
        </w:rPr>
      </w:pPr>
      <w:bookmarkStart w:id="16" w:name="_Toc29887"/>
      <w:bookmarkStart w:id="17" w:name="_Toc20056"/>
      <w:r>
        <w:rPr>
          <w:rFonts w:ascii="仿宋" w:eastAsia="仿宋" w:hAnsi="仿宋" w:hint="eastAsia"/>
          <w:sz w:val="32"/>
          <w:szCs w:val="32"/>
        </w:rPr>
        <w:t>2.</w:t>
      </w:r>
      <w:r>
        <w:rPr>
          <w:rFonts w:ascii="仿宋" w:eastAsia="仿宋" w:hAnsi="仿宋" w:hint="eastAsia"/>
          <w:sz w:val="32"/>
          <w:szCs w:val="32"/>
        </w:rPr>
        <w:t>按照省委省政府和地矿局统一部署，以坚定的信心迎接改革，以实际行动支持改革，做好全队事业单位改革工作。</w:t>
      </w:r>
      <w:bookmarkEnd w:id="16"/>
      <w:bookmarkEnd w:id="17"/>
    </w:p>
    <w:p w:rsidR="00144130" w:rsidRDefault="00C1571D">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紧扣主责主业，夯实发展根基，不断拓宽传统地质服务领域，保障能源安全助力国家战略，高效抢险救灾为民排</w:t>
      </w:r>
      <w:r>
        <w:rPr>
          <w:rFonts w:ascii="仿宋" w:eastAsia="仿宋" w:hAnsi="仿宋" w:hint="eastAsia"/>
          <w:sz w:val="32"/>
          <w:szCs w:val="32"/>
        </w:rPr>
        <w:lastRenderedPageBreak/>
        <w:t>危解难，打赢“脱贫攻坚战”、赋能“乡村振兴”，在担当作为中彰显地勘单位使命。</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稳步发展新兴产业集群，以实现“碳达峰，碳中和”战略目标和构建国际国内双循环</w:t>
      </w:r>
      <w:r>
        <w:rPr>
          <w:rFonts w:ascii="仿宋" w:eastAsia="仿宋" w:hAnsi="仿宋"/>
          <w:sz w:val="32"/>
          <w:szCs w:val="32"/>
        </w:rPr>
        <w:t>为契机，主动作为，积极融入成渝地区双城经济</w:t>
      </w:r>
      <w:r>
        <w:rPr>
          <w:rFonts w:ascii="仿宋" w:eastAsia="仿宋" w:hAnsi="仿宋"/>
          <w:sz w:val="32"/>
          <w:szCs w:val="32"/>
        </w:rPr>
        <w:t>圈建</w:t>
      </w:r>
      <w:r>
        <w:rPr>
          <w:rFonts w:ascii="仿宋" w:eastAsia="仿宋" w:hAnsi="仿宋" w:hint="eastAsia"/>
          <w:sz w:val="32"/>
          <w:szCs w:val="32"/>
        </w:rPr>
        <w:t>设，</w:t>
      </w:r>
      <w:proofErr w:type="gramStart"/>
      <w:r>
        <w:rPr>
          <w:rFonts w:ascii="仿宋" w:eastAsia="仿宋" w:hAnsi="仿宋" w:hint="eastAsia"/>
          <w:sz w:val="32"/>
          <w:szCs w:val="32"/>
        </w:rPr>
        <w:t>引战投资助</w:t>
      </w:r>
      <w:proofErr w:type="gramEnd"/>
      <w:r>
        <w:rPr>
          <w:rFonts w:ascii="仿宋" w:eastAsia="仿宋" w:hAnsi="仿宋" w:hint="eastAsia"/>
          <w:sz w:val="32"/>
          <w:szCs w:val="32"/>
        </w:rPr>
        <w:t>推环保产业，探索高质量发展之路，谋篇布局新能源，借力地勘能力装备提升助推地热产业升级</w:t>
      </w:r>
      <w:r>
        <w:rPr>
          <w:rFonts w:ascii="仿宋" w:eastAsia="仿宋" w:hAnsi="仿宋"/>
          <w:sz w:val="32"/>
          <w:szCs w:val="32"/>
        </w:rPr>
        <w:t>。</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扎实推动科研，切实加强科技创新对地质产业的引领推动作用，切实提升我单位科技实力。</w:t>
      </w:r>
    </w:p>
    <w:p w:rsidR="00144130" w:rsidRDefault="00C1571D">
      <w:pPr>
        <w:pStyle w:val="2"/>
        <w:rPr>
          <w:rFonts w:ascii="黑体" w:eastAsia="黑体" w:hAnsi="黑体"/>
          <w:b w:val="0"/>
        </w:rPr>
      </w:pPr>
      <w:bookmarkStart w:id="18" w:name="_Toc15377204"/>
      <w:bookmarkStart w:id="19" w:name="_Toc15396602"/>
      <w:r>
        <w:rPr>
          <w:rFonts w:ascii="黑体" w:eastAsia="黑体" w:hAnsi="黑体" w:hint="eastAsia"/>
          <w:b w:val="0"/>
        </w:rPr>
        <w:t>三、机构设置</w:t>
      </w:r>
      <w:r>
        <w:rPr>
          <w:rFonts w:ascii="黑体" w:eastAsia="黑体" w:hAnsi="黑体" w:hint="eastAsia"/>
          <w:b w:val="0"/>
        </w:rPr>
        <w:t>情况</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本单位由</w:t>
      </w:r>
      <w:r>
        <w:rPr>
          <w:rFonts w:ascii="仿宋" w:eastAsia="仿宋" w:hAnsi="仿宋" w:hint="eastAsia"/>
          <w:sz w:val="32"/>
          <w:szCs w:val="32"/>
        </w:rPr>
        <w:t>9</w:t>
      </w:r>
      <w:r>
        <w:rPr>
          <w:rFonts w:ascii="仿宋" w:eastAsia="仿宋" w:hAnsi="仿宋" w:hint="eastAsia"/>
          <w:sz w:val="32"/>
          <w:szCs w:val="32"/>
        </w:rPr>
        <w:t>个职能部门构成，分别是：综合管理部、党群工作部、纪检监察室、财务部、质量安全环境部、市场管理部、审计部、事业发展部、科技创新部。</w:t>
      </w:r>
    </w:p>
    <w:p w:rsidR="00144130" w:rsidRDefault="00144130">
      <w:pPr>
        <w:pStyle w:val="1"/>
        <w:ind w:right="440"/>
        <w:rPr>
          <w:rFonts w:ascii="黑体" w:eastAsia="黑体" w:hAnsi="黑体"/>
          <w:b w:val="0"/>
        </w:rPr>
      </w:pPr>
    </w:p>
    <w:p w:rsidR="00144130" w:rsidRDefault="00144130">
      <w:pPr>
        <w:rPr>
          <w:rFonts w:ascii="黑体" w:eastAsia="黑体" w:hAnsi="黑体"/>
          <w:bCs/>
        </w:rPr>
      </w:pPr>
    </w:p>
    <w:p w:rsidR="00144130" w:rsidRDefault="00144130">
      <w:pPr>
        <w:pStyle w:val="a0"/>
        <w:spacing w:before="93"/>
        <w:rPr>
          <w:rFonts w:ascii="黑体" w:eastAsia="黑体" w:hAnsi="黑体"/>
          <w:bCs/>
        </w:rPr>
      </w:pPr>
    </w:p>
    <w:p w:rsidR="00144130" w:rsidRDefault="00144130">
      <w:pPr>
        <w:rPr>
          <w:rFonts w:ascii="黑体" w:eastAsia="黑体" w:hAnsi="黑体"/>
          <w:bCs/>
        </w:rPr>
      </w:pPr>
    </w:p>
    <w:p w:rsidR="00144130" w:rsidRDefault="00144130">
      <w:pPr>
        <w:pStyle w:val="a0"/>
        <w:spacing w:before="93"/>
        <w:rPr>
          <w:rFonts w:ascii="黑体" w:eastAsia="黑体" w:hAnsi="黑体"/>
          <w:bCs/>
        </w:rPr>
      </w:pPr>
    </w:p>
    <w:p w:rsidR="00144130" w:rsidRDefault="00144130">
      <w:pPr>
        <w:rPr>
          <w:rFonts w:ascii="黑体" w:eastAsia="黑体" w:hAnsi="黑体"/>
          <w:bCs/>
        </w:rPr>
      </w:pPr>
    </w:p>
    <w:p w:rsidR="00144130" w:rsidRDefault="00144130">
      <w:pPr>
        <w:pStyle w:val="a0"/>
        <w:spacing w:before="93"/>
        <w:rPr>
          <w:rFonts w:ascii="黑体" w:eastAsia="黑体" w:hAnsi="黑体"/>
          <w:bCs/>
        </w:rPr>
      </w:pPr>
    </w:p>
    <w:p w:rsidR="00144130" w:rsidRDefault="00144130">
      <w:pPr>
        <w:rPr>
          <w:rFonts w:ascii="黑体" w:eastAsia="黑体" w:hAnsi="黑体"/>
          <w:bCs/>
        </w:rPr>
      </w:pPr>
    </w:p>
    <w:p w:rsidR="00144130" w:rsidRDefault="00144130">
      <w:pPr>
        <w:pStyle w:val="a0"/>
        <w:spacing w:before="93"/>
        <w:rPr>
          <w:rFonts w:ascii="黑体" w:eastAsia="黑体" w:hAnsi="黑体"/>
          <w:bCs/>
        </w:rPr>
      </w:pPr>
    </w:p>
    <w:p w:rsidR="00144130" w:rsidRDefault="00144130">
      <w:pPr>
        <w:rPr>
          <w:rFonts w:ascii="黑体" w:eastAsia="黑体" w:hAnsi="黑体"/>
          <w:bCs/>
        </w:rPr>
      </w:pPr>
    </w:p>
    <w:p w:rsidR="00144130" w:rsidRDefault="00144130">
      <w:pPr>
        <w:pStyle w:val="a0"/>
        <w:spacing w:before="93"/>
        <w:rPr>
          <w:rFonts w:ascii="黑体" w:eastAsia="黑体" w:hAnsi="黑体"/>
          <w:bCs/>
        </w:rPr>
      </w:pPr>
    </w:p>
    <w:p w:rsidR="00144130" w:rsidRDefault="00144130"/>
    <w:p w:rsidR="00144130" w:rsidRDefault="00C1571D">
      <w:pPr>
        <w:pStyle w:val="1"/>
        <w:ind w:right="440"/>
        <w:jc w:val="center"/>
        <w:rPr>
          <w:rStyle w:val="10"/>
          <w:rFonts w:ascii="黑体" w:eastAsia="黑体" w:hAnsi="黑体"/>
          <w:bCs/>
        </w:rPr>
      </w:pPr>
      <w:r>
        <w:rPr>
          <w:rFonts w:ascii="黑体" w:eastAsia="黑体" w:hAnsi="黑体" w:hint="eastAsia"/>
          <w:b w:val="0"/>
        </w:rPr>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0"/>
          <w:rFonts w:ascii="黑体" w:eastAsia="黑体" w:hAnsi="黑体" w:hint="eastAsia"/>
          <w:bCs/>
        </w:rPr>
        <w:t>单位</w:t>
      </w:r>
      <w:r>
        <w:rPr>
          <w:rStyle w:val="10"/>
          <w:rFonts w:ascii="黑体" w:eastAsia="黑体" w:hAnsi="黑体" w:hint="eastAsia"/>
          <w:bCs/>
        </w:rPr>
        <w:t>决算情况说明</w:t>
      </w:r>
      <w:bookmarkEnd w:id="18"/>
      <w:bookmarkEnd w:id="19"/>
    </w:p>
    <w:p w:rsidR="00144130" w:rsidRDefault="00144130"/>
    <w:p w:rsidR="00144130" w:rsidRDefault="00C1571D">
      <w:pPr>
        <w:pStyle w:val="ae"/>
        <w:numPr>
          <w:ilvl w:val="0"/>
          <w:numId w:val="2"/>
        </w:numPr>
        <w:spacing w:line="600" w:lineRule="exact"/>
        <w:ind w:firstLineChars="0"/>
        <w:outlineLvl w:val="1"/>
        <w:rPr>
          <w:rFonts w:ascii="仿宋" w:eastAsia="仿宋" w:hAnsi="仿宋"/>
          <w:sz w:val="32"/>
          <w:szCs w:val="32"/>
        </w:rPr>
      </w:pPr>
      <w:bookmarkStart w:id="20" w:name="_Toc15377205"/>
      <w:bookmarkStart w:id="21" w:name="_Toc15396603"/>
      <w:r>
        <w:rPr>
          <w:rFonts w:ascii="黑体" w:eastAsia="黑体" w:hAnsi="黑体" w:hint="eastAsia"/>
          <w:sz w:val="32"/>
          <w:szCs w:val="32"/>
        </w:rPr>
        <w:t>收</w:t>
      </w:r>
      <w:r>
        <w:rPr>
          <w:rStyle w:val="20"/>
          <w:rFonts w:ascii="黑体" w:eastAsia="黑体" w:hAnsi="黑体" w:hint="eastAsia"/>
          <w:b w:val="0"/>
        </w:rPr>
        <w:t>入支出决算总体情况说明</w:t>
      </w:r>
      <w:bookmarkEnd w:id="20"/>
      <w:bookmarkEnd w:id="21"/>
    </w:p>
    <w:p w:rsidR="00144130" w:rsidRDefault="00C1571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年度收、支总计</w:t>
      </w:r>
      <w:r>
        <w:rPr>
          <w:rFonts w:ascii="仿宋" w:eastAsia="仿宋" w:hAnsi="仿宋" w:hint="eastAsia"/>
          <w:sz w:val="32"/>
          <w:szCs w:val="32"/>
        </w:rPr>
        <w:t>8549.23</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年的</w:t>
      </w:r>
      <w:r>
        <w:rPr>
          <w:rFonts w:ascii="仿宋" w:eastAsia="仿宋" w:hAnsi="仿宋" w:hint="eastAsia"/>
          <w:sz w:val="32"/>
          <w:szCs w:val="32"/>
        </w:rPr>
        <w:t>11127.11</w:t>
      </w:r>
      <w:r>
        <w:rPr>
          <w:rFonts w:ascii="仿宋" w:eastAsia="仿宋" w:hAnsi="仿宋" w:hint="eastAsia"/>
          <w:sz w:val="32"/>
          <w:szCs w:val="32"/>
        </w:rPr>
        <w:t>万元相比，收、支总计各减少</w:t>
      </w:r>
      <w:r>
        <w:rPr>
          <w:rFonts w:ascii="仿宋" w:eastAsia="仿宋" w:hAnsi="仿宋" w:hint="eastAsia"/>
          <w:sz w:val="32"/>
          <w:szCs w:val="32"/>
        </w:rPr>
        <w:t>2577.88</w:t>
      </w:r>
      <w:r>
        <w:rPr>
          <w:rFonts w:ascii="仿宋" w:eastAsia="仿宋" w:hAnsi="仿宋" w:hint="eastAsia"/>
          <w:sz w:val="32"/>
          <w:szCs w:val="32"/>
        </w:rPr>
        <w:t>万元，下降</w:t>
      </w:r>
      <w:r>
        <w:rPr>
          <w:rFonts w:ascii="仿宋" w:eastAsia="仿宋" w:hAnsi="仿宋" w:hint="eastAsia"/>
          <w:sz w:val="32"/>
          <w:szCs w:val="32"/>
        </w:rPr>
        <w:t>23.17%</w:t>
      </w:r>
      <w:r>
        <w:rPr>
          <w:rFonts w:ascii="仿宋" w:eastAsia="仿宋" w:hAnsi="仿宋" w:hint="eastAsia"/>
          <w:sz w:val="32"/>
          <w:szCs w:val="32"/>
        </w:rPr>
        <w:t>。主要变动原因是减少了</w:t>
      </w:r>
      <w:r>
        <w:rPr>
          <w:rFonts w:ascii="仿宋" w:eastAsia="仿宋" w:hAnsi="仿宋" w:hint="eastAsia"/>
          <w:sz w:val="32"/>
          <w:szCs w:val="32"/>
        </w:rPr>
        <w:t>2020</w:t>
      </w:r>
      <w:r>
        <w:rPr>
          <w:rFonts w:ascii="仿宋" w:eastAsia="仿宋" w:hAnsi="仿宋" w:hint="eastAsia"/>
          <w:sz w:val="32"/>
          <w:szCs w:val="32"/>
        </w:rPr>
        <w:t>年第四批生态环境保护资金</w:t>
      </w:r>
      <w:r>
        <w:rPr>
          <w:rFonts w:ascii="仿宋" w:eastAsia="仿宋" w:hAnsi="仿宋" w:hint="eastAsia"/>
          <w:sz w:val="32"/>
          <w:szCs w:val="32"/>
        </w:rPr>
        <w:t>1699.72</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年重点行业企业用地土壤调查项目</w:t>
      </w:r>
      <w:r>
        <w:rPr>
          <w:rFonts w:ascii="仿宋" w:eastAsia="仿宋" w:hAnsi="仿宋" w:hint="eastAsia"/>
          <w:sz w:val="32"/>
          <w:szCs w:val="32"/>
        </w:rPr>
        <w:t>2445.00</w:t>
      </w:r>
      <w:r>
        <w:rPr>
          <w:rFonts w:ascii="仿宋" w:eastAsia="仿宋" w:hAnsi="仿宋" w:hint="eastAsia"/>
          <w:sz w:val="32"/>
          <w:szCs w:val="32"/>
        </w:rPr>
        <w:t>万元；新增</w:t>
      </w:r>
      <w:r>
        <w:rPr>
          <w:rFonts w:ascii="仿宋" w:eastAsia="仿宋" w:hAnsi="仿宋" w:hint="eastAsia"/>
          <w:sz w:val="32"/>
          <w:szCs w:val="32"/>
        </w:rPr>
        <w:t>2020</w:t>
      </w:r>
      <w:r>
        <w:rPr>
          <w:rFonts w:ascii="仿宋" w:eastAsia="仿宋" w:hAnsi="仿宋" w:hint="eastAsia"/>
          <w:sz w:val="32"/>
          <w:szCs w:val="32"/>
        </w:rPr>
        <w:t>年度地勘单位能力提升装备购置项目</w:t>
      </w:r>
      <w:r>
        <w:rPr>
          <w:rFonts w:ascii="仿宋" w:eastAsia="仿宋" w:hAnsi="仿宋" w:hint="eastAsia"/>
          <w:sz w:val="32"/>
          <w:szCs w:val="32"/>
        </w:rPr>
        <w:t>1000</w:t>
      </w:r>
      <w:r>
        <w:rPr>
          <w:rFonts w:ascii="仿宋" w:eastAsia="仿宋" w:hAnsi="仿宋" w:hint="eastAsia"/>
          <w:sz w:val="32"/>
          <w:szCs w:val="32"/>
        </w:rPr>
        <w:t>万元，其余为正常增减变动。</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收、支决算总计变动情况图如下：</w:t>
      </w:r>
    </w:p>
    <w:p w:rsidR="00144130" w:rsidRDefault="00C1571D">
      <w:pPr>
        <w:pStyle w:val="a0"/>
        <w:spacing w:before="93"/>
      </w:pPr>
      <w:r>
        <w:rPr>
          <w:noProof/>
        </w:rPr>
        <w:drawing>
          <wp:inline distT="0" distB="0" distL="114300" distR="114300">
            <wp:extent cx="5247640" cy="2885440"/>
            <wp:effectExtent l="4445" t="4445" r="5715" b="571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4130" w:rsidRDefault="00144130">
      <w:pPr>
        <w:spacing w:line="600" w:lineRule="exact"/>
        <w:jc w:val="left"/>
        <w:rPr>
          <w:rFonts w:ascii="仿宋_GB2312" w:eastAsia="仿宋_GB2312"/>
          <w:sz w:val="32"/>
          <w:szCs w:val="32"/>
        </w:rPr>
      </w:pPr>
    </w:p>
    <w:p w:rsidR="00144130" w:rsidRDefault="00C1571D">
      <w:pPr>
        <w:pStyle w:val="ae"/>
        <w:numPr>
          <w:ilvl w:val="0"/>
          <w:numId w:val="2"/>
        </w:numPr>
        <w:spacing w:line="600" w:lineRule="exact"/>
        <w:ind w:firstLineChars="0"/>
        <w:outlineLvl w:val="1"/>
        <w:rPr>
          <w:rFonts w:ascii="仿宋" w:eastAsia="仿宋" w:hAnsi="仿宋"/>
          <w:sz w:val="32"/>
          <w:szCs w:val="32"/>
        </w:rPr>
      </w:pPr>
      <w:bookmarkStart w:id="22" w:name="_Toc15377206"/>
      <w:bookmarkStart w:id="23" w:name="_Toc15396604"/>
      <w:r>
        <w:rPr>
          <w:rFonts w:ascii="黑体" w:eastAsia="黑体" w:hAnsi="黑体" w:hint="eastAsia"/>
          <w:sz w:val="32"/>
          <w:szCs w:val="32"/>
        </w:rPr>
        <w:t>收</w:t>
      </w:r>
      <w:r>
        <w:rPr>
          <w:rStyle w:val="20"/>
          <w:rFonts w:ascii="黑体" w:eastAsia="黑体" w:hAnsi="黑体" w:hint="eastAsia"/>
          <w:b w:val="0"/>
        </w:rPr>
        <w:t>入决算情况说明</w:t>
      </w:r>
      <w:bookmarkEnd w:id="22"/>
      <w:bookmarkEnd w:id="23"/>
    </w:p>
    <w:p w:rsidR="00144130" w:rsidRDefault="00C1571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年本年收入合计</w:t>
      </w:r>
      <w:r>
        <w:rPr>
          <w:rFonts w:ascii="仿宋" w:eastAsia="仿宋" w:hAnsi="仿宋" w:hint="eastAsia"/>
          <w:sz w:val="32"/>
          <w:szCs w:val="32"/>
        </w:rPr>
        <w:t>7843.77</w:t>
      </w:r>
      <w:r>
        <w:rPr>
          <w:rFonts w:ascii="仿宋" w:eastAsia="仿宋" w:hAnsi="仿宋" w:hint="eastAsia"/>
          <w:sz w:val="32"/>
          <w:szCs w:val="32"/>
        </w:rPr>
        <w:t>万元，其中：一般公共预算财政拨款收入</w:t>
      </w:r>
      <w:r>
        <w:rPr>
          <w:rFonts w:ascii="仿宋" w:eastAsia="仿宋" w:hAnsi="仿宋" w:hint="eastAsia"/>
          <w:sz w:val="32"/>
          <w:szCs w:val="32"/>
        </w:rPr>
        <w:t>7666.45</w:t>
      </w:r>
      <w:r>
        <w:rPr>
          <w:rFonts w:ascii="仿宋" w:eastAsia="仿宋" w:hAnsi="仿宋" w:hint="eastAsia"/>
          <w:sz w:val="32"/>
          <w:szCs w:val="32"/>
        </w:rPr>
        <w:t>万元，占</w:t>
      </w:r>
      <w:r>
        <w:rPr>
          <w:rFonts w:ascii="仿宋" w:eastAsia="仿宋" w:hAnsi="仿宋" w:hint="eastAsia"/>
          <w:sz w:val="32"/>
          <w:szCs w:val="32"/>
        </w:rPr>
        <w:t>97.74%</w:t>
      </w:r>
      <w:r>
        <w:rPr>
          <w:rFonts w:ascii="仿宋" w:eastAsia="仿宋" w:hAnsi="仿宋" w:hint="eastAsia"/>
          <w:sz w:val="32"/>
          <w:szCs w:val="32"/>
        </w:rPr>
        <w:t>；经</w:t>
      </w:r>
      <w:r>
        <w:rPr>
          <w:rFonts w:ascii="仿宋" w:eastAsia="仿宋" w:hAnsi="仿宋" w:hint="eastAsia"/>
          <w:sz w:val="32"/>
          <w:szCs w:val="32"/>
        </w:rPr>
        <w:t>营收入</w:t>
      </w:r>
      <w:r>
        <w:rPr>
          <w:rFonts w:ascii="仿宋" w:eastAsia="仿宋" w:hAnsi="仿宋" w:hint="eastAsia"/>
          <w:sz w:val="32"/>
          <w:szCs w:val="32"/>
        </w:rPr>
        <w:t>169.23</w:t>
      </w:r>
      <w:r>
        <w:rPr>
          <w:rFonts w:ascii="仿宋" w:eastAsia="仿宋" w:hAnsi="仿宋" w:hint="eastAsia"/>
          <w:sz w:val="32"/>
          <w:szCs w:val="32"/>
        </w:rPr>
        <w:t>万元，占</w:t>
      </w:r>
      <w:r>
        <w:rPr>
          <w:rFonts w:ascii="仿宋" w:eastAsia="仿宋" w:hAnsi="仿宋" w:hint="eastAsia"/>
          <w:sz w:val="32"/>
          <w:szCs w:val="32"/>
        </w:rPr>
        <w:t>2.16%</w:t>
      </w:r>
      <w:r>
        <w:rPr>
          <w:rFonts w:ascii="仿宋" w:eastAsia="仿宋" w:hAnsi="仿宋" w:hint="eastAsia"/>
          <w:sz w:val="32"/>
          <w:szCs w:val="32"/>
        </w:rPr>
        <w:t>；其他收入</w:t>
      </w:r>
      <w:r>
        <w:rPr>
          <w:rFonts w:ascii="仿宋" w:eastAsia="仿宋" w:hAnsi="仿宋" w:hint="eastAsia"/>
          <w:sz w:val="32"/>
          <w:szCs w:val="32"/>
        </w:rPr>
        <w:t>8.09</w:t>
      </w:r>
      <w:r>
        <w:rPr>
          <w:rFonts w:ascii="仿宋" w:eastAsia="仿宋" w:hAnsi="仿宋" w:hint="eastAsia"/>
          <w:sz w:val="32"/>
          <w:szCs w:val="32"/>
        </w:rPr>
        <w:t>万元，占</w:t>
      </w:r>
      <w:r>
        <w:rPr>
          <w:rFonts w:ascii="仿宋" w:eastAsia="仿宋" w:hAnsi="仿宋" w:hint="eastAsia"/>
          <w:sz w:val="32"/>
          <w:szCs w:val="32"/>
        </w:rPr>
        <w:t>0.1%</w:t>
      </w:r>
      <w:r>
        <w:rPr>
          <w:rFonts w:ascii="仿宋" w:eastAsia="仿宋" w:hAnsi="仿宋" w:hint="eastAsia"/>
          <w:sz w:val="32"/>
          <w:szCs w:val="32"/>
        </w:rPr>
        <w:t>。</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收入决算结构图如下：</w:t>
      </w:r>
    </w:p>
    <w:p w:rsidR="00144130" w:rsidRDefault="00C1571D">
      <w:pPr>
        <w:pStyle w:val="a0"/>
        <w:spacing w:before="93"/>
      </w:pPr>
      <w:r>
        <w:rPr>
          <w:noProof/>
        </w:rPr>
        <w:drawing>
          <wp:inline distT="0" distB="0" distL="114300" distR="114300">
            <wp:extent cx="5171440" cy="2671445"/>
            <wp:effectExtent l="4445" t="4445" r="5715" b="1651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4130" w:rsidRDefault="00144130"/>
    <w:p w:rsidR="00144130" w:rsidRDefault="00C1571D">
      <w:pPr>
        <w:pStyle w:val="ae"/>
        <w:numPr>
          <w:ilvl w:val="0"/>
          <w:numId w:val="2"/>
        </w:numPr>
        <w:spacing w:line="600" w:lineRule="exact"/>
        <w:ind w:firstLineChars="0"/>
        <w:outlineLvl w:val="1"/>
        <w:rPr>
          <w:rFonts w:ascii="仿宋" w:eastAsia="仿宋" w:hAnsi="仿宋"/>
          <w:sz w:val="32"/>
          <w:szCs w:val="32"/>
        </w:rPr>
      </w:pPr>
      <w:bookmarkStart w:id="24" w:name="_Toc15377207"/>
      <w:bookmarkStart w:id="25" w:name="_Toc15396605"/>
      <w:r>
        <w:rPr>
          <w:rFonts w:ascii="黑体" w:eastAsia="黑体" w:hAnsi="黑体" w:hint="eastAsia"/>
          <w:sz w:val="32"/>
          <w:szCs w:val="32"/>
        </w:rPr>
        <w:t>支</w:t>
      </w:r>
      <w:r>
        <w:rPr>
          <w:rStyle w:val="20"/>
          <w:rFonts w:ascii="黑体" w:eastAsia="黑体" w:hAnsi="黑体" w:hint="eastAsia"/>
          <w:b w:val="0"/>
        </w:rPr>
        <w:t>出决算情况说明</w:t>
      </w:r>
      <w:bookmarkEnd w:id="24"/>
      <w:bookmarkEnd w:id="25"/>
    </w:p>
    <w:p w:rsidR="00144130" w:rsidRDefault="00C1571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年本年支出合计</w:t>
      </w:r>
      <w:r>
        <w:rPr>
          <w:rFonts w:ascii="仿宋" w:eastAsia="仿宋" w:hAnsi="仿宋" w:hint="eastAsia"/>
          <w:sz w:val="32"/>
          <w:szCs w:val="32"/>
        </w:rPr>
        <w:t>8549.23</w:t>
      </w:r>
      <w:r>
        <w:rPr>
          <w:rFonts w:ascii="仿宋" w:eastAsia="仿宋" w:hAnsi="仿宋" w:hint="eastAsia"/>
          <w:sz w:val="32"/>
          <w:szCs w:val="32"/>
        </w:rPr>
        <w:t>万元，其中：基本支出</w:t>
      </w:r>
      <w:r>
        <w:rPr>
          <w:rFonts w:ascii="仿宋" w:eastAsia="仿宋" w:hAnsi="仿宋" w:hint="eastAsia"/>
          <w:sz w:val="32"/>
          <w:szCs w:val="32"/>
        </w:rPr>
        <w:t>6872.77</w:t>
      </w:r>
      <w:r>
        <w:rPr>
          <w:rFonts w:ascii="仿宋" w:eastAsia="仿宋" w:hAnsi="仿宋" w:hint="eastAsia"/>
          <w:sz w:val="32"/>
          <w:szCs w:val="32"/>
        </w:rPr>
        <w:t>万元，占</w:t>
      </w:r>
      <w:r>
        <w:rPr>
          <w:rFonts w:ascii="仿宋" w:eastAsia="仿宋" w:hAnsi="仿宋" w:hint="eastAsia"/>
          <w:sz w:val="32"/>
          <w:szCs w:val="32"/>
        </w:rPr>
        <w:t>80.39%</w:t>
      </w:r>
      <w:r>
        <w:rPr>
          <w:rFonts w:ascii="仿宋" w:eastAsia="仿宋" w:hAnsi="仿宋" w:hint="eastAsia"/>
          <w:sz w:val="32"/>
          <w:szCs w:val="32"/>
        </w:rPr>
        <w:t>；项目支出</w:t>
      </w:r>
      <w:r>
        <w:rPr>
          <w:rFonts w:ascii="仿宋" w:eastAsia="仿宋" w:hAnsi="仿宋" w:hint="eastAsia"/>
          <w:sz w:val="32"/>
          <w:szCs w:val="32"/>
        </w:rPr>
        <w:t>1651.22</w:t>
      </w:r>
      <w:r>
        <w:rPr>
          <w:rFonts w:ascii="仿宋" w:eastAsia="仿宋" w:hAnsi="仿宋" w:hint="eastAsia"/>
          <w:sz w:val="32"/>
          <w:szCs w:val="32"/>
        </w:rPr>
        <w:t>万元，占</w:t>
      </w:r>
      <w:r>
        <w:rPr>
          <w:rFonts w:ascii="仿宋" w:eastAsia="仿宋" w:hAnsi="仿宋" w:hint="eastAsia"/>
          <w:sz w:val="32"/>
          <w:szCs w:val="32"/>
        </w:rPr>
        <w:t>19.31%</w:t>
      </w:r>
      <w:r>
        <w:rPr>
          <w:rFonts w:ascii="仿宋" w:eastAsia="仿宋" w:hAnsi="仿宋" w:hint="eastAsia"/>
          <w:sz w:val="32"/>
          <w:szCs w:val="32"/>
        </w:rPr>
        <w:t>；经营支出</w:t>
      </w:r>
      <w:r>
        <w:rPr>
          <w:rFonts w:ascii="仿宋" w:eastAsia="仿宋" w:hAnsi="仿宋" w:hint="eastAsia"/>
          <w:sz w:val="32"/>
          <w:szCs w:val="32"/>
        </w:rPr>
        <w:t>25.24</w:t>
      </w:r>
      <w:r>
        <w:rPr>
          <w:rFonts w:ascii="仿宋" w:eastAsia="仿宋" w:hAnsi="仿宋" w:hint="eastAsia"/>
          <w:sz w:val="32"/>
          <w:szCs w:val="32"/>
        </w:rPr>
        <w:t>万元，占</w:t>
      </w:r>
      <w:r>
        <w:rPr>
          <w:rFonts w:ascii="仿宋" w:eastAsia="仿宋" w:hAnsi="仿宋" w:hint="eastAsia"/>
          <w:sz w:val="32"/>
          <w:szCs w:val="32"/>
        </w:rPr>
        <w:t>0.30%</w:t>
      </w:r>
      <w:r>
        <w:rPr>
          <w:rFonts w:ascii="仿宋" w:eastAsia="仿宋" w:hAnsi="仿宋" w:hint="eastAsia"/>
          <w:sz w:val="32"/>
          <w:szCs w:val="32"/>
        </w:rPr>
        <w:t>。</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支出决算结构图如下：</w:t>
      </w:r>
    </w:p>
    <w:p w:rsidR="00144130" w:rsidRDefault="00C1571D">
      <w:pPr>
        <w:pStyle w:val="a0"/>
        <w:spacing w:before="93"/>
        <w:rPr>
          <w:rFonts w:ascii="黑体" w:eastAsia="黑体" w:hAnsi="黑体"/>
          <w:sz w:val="32"/>
          <w:szCs w:val="32"/>
        </w:rPr>
      </w:pPr>
      <w:r>
        <w:rPr>
          <w:noProof/>
        </w:rPr>
        <w:lastRenderedPageBreak/>
        <w:drawing>
          <wp:inline distT="0" distB="0" distL="114300" distR="114300">
            <wp:extent cx="5237480" cy="2682875"/>
            <wp:effectExtent l="4445" t="4445" r="15875" b="508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26" w:name="_Toc15377208"/>
      <w:bookmarkStart w:id="27" w:name="_Toc15396606"/>
    </w:p>
    <w:p w:rsidR="00144130" w:rsidRDefault="00144130">
      <w:pPr>
        <w:spacing w:line="600" w:lineRule="exact"/>
        <w:ind w:firstLineChars="200" w:firstLine="640"/>
        <w:outlineLvl w:val="1"/>
        <w:rPr>
          <w:rFonts w:ascii="黑体" w:eastAsia="黑体" w:hAnsi="黑体"/>
          <w:sz w:val="32"/>
          <w:szCs w:val="32"/>
        </w:rPr>
      </w:pPr>
    </w:p>
    <w:p w:rsidR="00144130" w:rsidRDefault="00C1571D">
      <w:pPr>
        <w:spacing w:line="600" w:lineRule="exact"/>
        <w:ind w:firstLineChars="200" w:firstLine="640"/>
        <w:outlineLvl w:val="1"/>
        <w:rPr>
          <w:rFonts w:ascii="仿宋" w:eastAsia="仿宋" w:hAnsi="仿宋"/>
          <w:sz w:val="32"/>
          <w:szCs w:val="32"/>
        </w:rPr>
      </w:pPr>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26"/>
      <w:bookmarkEnd w:id="27"/>
    </w:p>
    <w:p w:rsidR="00144130" w:rsidRDefault="00C1571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年财政拨款收、支总计</w:t>
      </w:r>
      <w:r>
        <w:rPr>
          <w:rFonts w:ascii="仿宋" w:eastAsia="仿宋" w:hAnsi="仿宋" w:hint="eastAsia"/>
          <w:sz w:val="32"/>
          <w:szCs w:val="32"/>
        </w:rPr>
        <w:t>7666.45</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年相比，财政拨款收、支总计各减少</w:t>
      </w:r>
      <w:r>
        <w:rPr>
          <w:rFonts w:ascii="仿宋" w:eastAsia="仿宋" w:hAnsi="仿宋" w:hint="eastAsia"/>
          <w:sz w:val="32"/>
          <w:szCs w:val="32"/>
        </w:rPr>
        <w:t>2428.51</w:t>
      </w:r>
      <w:r>
        <w:rPr>
          <w:rFonts w:ascii="仿宋" w:eastAsia="仿宋" w:hAnsi="仿宋" w:hint="eastAsia"/>
          <w:sz w:val="32"/>
          <w:szCs w:val="32"/>
        </w:rPr>
        <w:t>万元，下降</w:t>
      </w:r>
      <w:r>
        <w:rPr>
          <w:rFonts w:ascii="仿宋" w:eastAsia="仿宋" w:hAnsi="仿宋" w:hint="eastAsia"/>
          <w:sz w:val="32"/>
          <w:szCs w:val="32"/>
        </w:rPr>
        <w:t>24.06%</w:t>
      </w:r>
      <w:r>
        <w:rPr>
          <w:rFonts w:ascii="仿宋" w:eastAsia="仿宋" w:hAnsi="仿宋" w:hint="eastAsia"/>
          <w:sz w:val="32"/>
          <w:szCs w:val="32"/>
        </w:rPr>
        <w:t>。主要变动原因是</w:t>
      </w:r>
      <w:r>
        <w:rPr>
          <w:rFonts w:ascii="仿宋" w:eastAsia="仿宋" w:hAnsi="仿宋" w:hint="eastAsia"/>
          <w:sz w:val="32"/>
          <w:szCs w:val="32"/>
        </w:rPr>
        <w:t>2021</w:t>
      </w:r>
      <w:r>
        <w:rPr>
          <w:rFonts w:ascii="仿宋" w:eastAsia="仿宋" w:hAnsi="仿宋" w:hint="eastAsia"/>
          <w:sz w:val="32"/>
          <w:szCs w:val="32"/>
        </w:rPr>
        <w:t>年减少了四川省重点行业企业用地调查采样项目的</w:t>
      </w:r>
      <w:r>
        <w:rPr>
          <w:rFonts w:ascii="仿宋" w:eastAsia="仿宋" w:hAnsi="仿宋" w:hint="eastAsia"/>
          <w:sz w:val="32"/>
          <w:szCs w:val="32"/>
        </w:rPr>
        <w:t>2445.00</w:t>
      </w:r>
      <w:r>
        <w:rPr>
          <w:rFonts w:ascii="仿宋" w:eastAsia="仿宋" w:hAnsi="仿宋" w:hint="eastAsia"/>
          <w:sz w:val="32"/>
          <w:szCs w:val="32"/>
        </w:rPr>
        <w:t>万元和第四批生态环境保护资金</w:t>
      </w:r>
      <w:r>
        <w:rPr>
          <w:rFonts w:ascii="仿宋" w:eastAsia="仿宋" w:hAnsi="仿宋" w:hint="eastAsia"/>
          <w:sz w:val="32"/>
          <w:szCs w:val="32"/>
        </w:rPr>
        <w:t>1699.72</w:t>
      </w:r>
      <w:r>
        <w:rPr>
          <w:rFonts w:ascii="仿宋" w:eastAsia="仿宋" w:hAnsi="仿宋" w:hint="eastAsia"/>
          <w:sz w:val="32"/>
          <w:szCs w:val="32"/>
        </w:rPr>
        <w:t>万元；增加了</w:t>
      </w:r>
      <w:r>
        <w:rPr>
          <w:rFonts w:ascii="仿宋" w:eastAsia="仿宋" w:hAnsi="仿宋" w:hint="eastAsia"/>
          <w:sz w:val="32"/>
          <w:szCs w:val="32"/>
        </w:rPr>
        <w:t>2020</w:t>
      </w:r>
      <w:r>
        <w:rPr>
          <w:rFonts w:ascii="仿宋" w:eastAsia="仿宋" w:hAnsi="仿宋" w:hint="eastAsia"/>
          <w:sz w:val="32"/>
          <w:szCs w:val="32"/>
        </w:rPr>
        <w:t>年度地勘单位能力提升装备购置项目</w:t>
      </w:r>
      <w:r>
        <w:rPr>
          <w:rFonts w:ascii="仿宋" w:eastAsia="仿宋" w:hAnsi="仿宋" w:hint="eastAsia"/>
          <w:sz w:val="32"/>
          <w:szCs w:val="32"/>
        </w:rPr>
        <w:t>1000</w:t>
      </w:r>
      <w:r>
        <w:rPr>
          <w:rFonts w:ascii="仿宋" w:eastAsia="仿宋" w:hAnsi="仿宋" w:hint="eastAsia"/>
          <w:sz w:val="32"/>
          <w:szCs w:val="32"/>
        </w:rPr>
        <w:t>万元，其余为正常增减变动。</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财政拨款收、支决算总计变动情况如下图：</w:t>
      </w:r>
    </w:p>
    <w:p w:rsidR="00144130" w:rsidRDefault="00144130"/>
    <w:p w:rsidR="00144130" w:rsidRDefault="00C1571D">
      <w:pPr>
        <w:pStyle w:val="a0"/>
        <w:spacing w:before="93"/>
      </w:pPr>
      <w:r>
        <w:rPr>
          <w:noProof/>
        </w:rPr>
        <w:lastRenderedPageBreak/>
        <w:drawing>
          <wp:inline distT="0" distB="0" distL="114300" distR="114300">
            <wp:extent cx="5257800" cy="2733675"/>
            <wp:effectExtent l="4445" t="4445" r="14605" b="508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4130" w:rsidRDefault="00144130">
      <w:pPr>
        <w:spacing w:line="600" w:lineRule="exact"/>
        <w:outlineLvl w:val="1"/>
        <w:rPr>
          <w:rFonts w:ascii="黑体" w:eastAsia="黑体" w:hAnsi="黑体"/>
          <w:sz w:val="32"/>
          <w:szCs w:val="32"/>
        </w:rPr>
      </w:pPr>
      <w:bookmarkStart w:id="28" w:name="_Toc15377209"/>
      <w:bookmarkStart w:id="29" w:name="_Toc15396607"/>
    </w:p>
    <w:p w:rsidR="00144130" w:rsidRDefault="00C1571D">
      <w:pPr>
        <w:spacing w:line="600" w:lineRule="exact"/>
        <w:ind w:firstLineChars="200" w:firstLine="640"/>
        <w:outlineLvl w:val="1"/>
        <w:rPr>
          <w:rFonts w:ascii="仿宋" w:eastAsia="仿宋" w:hAnsi="仿宋"/>
          <w:b/>
          <w:sz w:val="32"/>
          <w:szCs w:val="32"/>
        </w:rPr>
      </w:pPr>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Start w:id="30" w:name="_Toc15377210"/>
      <w:bookmarkEnd w:id="28"/>
      <w:bookmarkEnd w:id="29"/>
    </w:p>
    <w:p w:rsidR="00144130" w:rsidRDefault="00C1571D">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（一）一般公共预算财政拨款支出决算总体情况</w:t>
      </w:r>
      <w:bookmarkEnd w:id="30"/>
    </w:p>
    <w:p w:rsidR="00144130" w:rsidRDefault="00C1571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年一般公共预算财政拨款支出</w:t>
      </w:r>
      <w:r>
        <w:rPr>
          <w:rFonts w:ascii="仿宋" w:eastAsia="仿宋" w:hAnsi="仿宋" w:hint="eastAsia"/>
          <w:sz w:val="32"/>
          <w:szCs w:val="32"/>
        </w:rPr>
        <w:t>766</w:t>
      </w:r>
      <w:r>
        <w:rPr>
          <w:rFonts w:ascii="仿宋" w:eastAsia="仿宋" w:hAnsi="仿宋" w:hint="eastAsia"/>
          <w:sz w:val="32"/>
          <w:szCs w:val="32"/>
        </w:rPr>
        <w:t>6.45</w:t>
      </w:r>
      <w:r>
        <w:rPr>
          <w:rFonts w:ascii="仿宋" w:eastAsia="仿宋" w:hAnsi="仿宋" w:hint="eastAsia"/>
          <w:sz w:val="32"/>
          <w:szCs w:val="32"/>
        </w:rPr>
        <w:t>万元，占本年支出合计的</w:t>
      </w:r>
      <w:r>
        <w:rPr>
          <w:rFonts w:ascii="仿宋" w:eastAsia="仿宋" w:hAnsi="仿宋" w:hint="eastAsia"/>
          <w:sz w:val="32"/>
          <w:szCs w:val="32"/>
        </w:rPr>
        <w:t>89.67%</w:t>
      </w:r>
      <w:r>
        <w:rPr>
          <w:rFonts w:ascii="仿宋" w:eastAsia="仿宋" w:hAnsi="仿宋" w:hint="eastAsia"/>
          <w:sz w:val="32"/>
          <w:szCs w:val="32"/>
        </w:rPr>
        <w:t>。与</w:t>
      </w:r>
      <w:r>
        <w:rPr>
          <w:rFonts w:ascii="仿宋" w:eastAsia="仿宋" w:hAnsi="仿宋" w:hint="eastAsia"/>
          <w:sz w:val="32"/>
          <w:szCs w:val="32"/>
        </w:rPr>
        <w:t>2020</w:t>
      </w:r>
      <w:r>
        <w:rPr>
          <w:rFonts w:ascii="仿宋" w:eastAsia="仿宋" w:hAnsi="仿宋" w:hint="eastAsia"/>
          <w:sz w:val="32"/>
          <w:szCs w:val="32"/>
        </w:rPr>
        <w:t>年相比，一般公共预算财政拨款支出减少</w:t>
      </w:r>
      <w:r>
        <w:rPr>
          <w:rFonts w:ascii="仿宋" w:eastAsia="仿宋" w:hAnsi="仿宋" w:hint="eastAsia"/>
          <w:sz w:val="32"/>
          <w:szCs w:val="32"/>
        </w:rPr>
        <w:t>2428.51</w:t>
      </w:r>
      <w:r>
        <w:rPr>
          <w:rFonts w:ascii="仿宋" w:eastAsia="仿宋" w:hAnsi="仿宋" w:hint="eastAsia"/>
          <w:sz w:val="32"/>
          <w:szCs w:val="32"/>
        </w:rPr>
        <w:t>万元，下降</w:t>
      </w:r>
      <w:r>
        <w:rPr>
          <w:rFonts w:ascii="仿宋" w:eastAsia="仿宋" w:hAnsi="仿宋" w:hint="eastAsia"/>
          <w:sz w:val="32"/>
          <w:szCs w:val="32"/>
        </w:rPr>
        <w:t>24.06%</w:t>
      </w:r>
      <w:r>
        <w:rPr>
          <w:rFonts w:ascii="仿宋" w:eastAsia="仿宋" w:hAnsi="仿宋" w:hint="eastAsia"/>
          <w:sz w:val="32"/>
          <w:szCs w:val="32"/>
        </w:rPr>
        <w:t>。主要变动原因是减少了节能环保污染防治支出</w:t>
      </w:r>
      <w:r>
        <w:rPr>
          <w:rFonts w:ascii="仿宋" w:eastAsia="仿宋" w:hAnsi="仿宋" w:hint="eastAsia"/>
          <w:sz w:val="32"/>
          <w:szCs w:val="32"/>
        </w:rPr>
        <w:t>4144.72</w:t>
      </w:r>
      <w:r>
        <w:rPr>
          <w:rFonts w:ascii="仿宋" w:eastAsia="仿宋" w:hAnsi="仿宋" w:hint="eastAsia"/>
          <w:sz w:val="32"/>
          <w:szCs w:val="32"/>
        </w:rPr>
        <w:t>万元，增加了事业单位养老支出离退休费用</w:t>
      </w:r>
      <w:r>
        <w:rPr>
          <w:rFonts w:ascii="仿宋" w:eastAsia="仿宋" w:hAnsi="仿宋" w:hint="eastAsia"/>
          <w:sz w:val="32"/>
          <w:szCs w:val="32"/>
        </w:rPr>
        <w:t>746.37</w:t>
      </w:r>
      <w:r>
        <w:rPr>
          <w:rFonts w:ascii="仿宋" w:eastAsia="仿宋" w:hAnsi="仿宋" w:hint="eastAsia"/>
          <w:sz w:val="32"/>
          <w:szCs w:val="32"/>
        </w:rPr>
        <w:t>万元，减少了卫生健康支出事业单位医疗费用</w:t>
      </w:r>
      <w:r>
        <w:rPr>
          <w:rFonts w:ascii="仿宋" w:eastAsia="仿宋" w:hAnsi="仿宋" w:hint="eastAsia"/>
          <w:sz w:val="32"/>
          <w:szCs w:val="32"/>
        </w:rPr>
        <w:t>177.55</w:t>
      </w:r>
      <w:r>
        <w:rPr>
          <w:rFonts w:ascii="仿宋" w:eastAsia="仿宋" w:hAnsi="仿宋" w:hint="eastAsia"/>
          <w:sz w:val="32"/>
          <w:szCs w:val="32"/>
        </w:rPr>
        <w:t>万元，增加了资源</w:t>
      </w:r>
      <w:proofErr w:type="gramStart"/>
      <w:r>
        <w:rPr>
          <w:rFonts w:ascii="仿宋" w:eastAsia="仿宋" w:hAnsi="仿宋" w:hint="eastAsia"/>
          <w:sz w:val="32"/>
          <w:szCs w:val="32"/>
        </w:rPr>
        <w:t>勘探业支出</w:t>
      </w:r>
      <w:proofErr w:type="gramEnd"/>
      <w:r>
        <w:rPr>
          <w:rFonts w:ascii="仿宋" w:eastAsia="仿宋" w:hAnsi="仿宋" w:hint="eastAsia"/>
          <w:sz w:val="32"/>
          <w:szCs w:val="32"/>
        </w:rPr>
        <w:t>1000</w:t>
      </w:r>
      <w:r>
        <w:rPr>
          <w:rFonts w:ascii="仿宋" w:eastAsia="仿宋" w:hAnsi="仿宋" w:hint="eastAsia"/>
          <w:sz w:val="32"/>
          <w:szCs w:val="32"/>
        </w:rPr>
        <w:t>万元，增加了住房保障支出购房补贴</w:t>
      </w:r>
      <w:r>
        <w:rPr>
          <w:rFonts w:ascii="仿宋" w:eastAsia="仿宋" w:hAnsi="仿宋" w:hint="eastAsia"/>
          <w:sz w:val="32"/>
          <w:szCs w:val="32"/>
        </w:rPr>
        <w:t>346.08</w:t>
      </w:r>
      <w:r>
        <w:rPr>
          <w:rFonts w:ascii="仿宋" w:eastAsia="仿宋" w:hAnsi="仿宋" w:hint="eastAsia"/>
          <w:sz w:val="32"/>
          <w:szCs w:val="32"/>
        </w:rPr>
        <w:t>万元。</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一般公共预算财政拨款支出决算变动情况如下图：</w:t>
      </w:r>
    </w:p>
    <w:p w:rsidR="00144130" w:rsidRDefault="00144130">
      <w:pPr>
        <w:pStyle w:val="a0"/>
        <w:spacing w:before="93"/>
      </w:pPr>
    </w:p>
    <w:p w:rsidR="00144130" w:rsidRDefault="00C1571D">
      <w:pPr>
        <w:pStyle w:val="a0"/>
        <w:spacing w:before="93"/>
      </w:pPr>
      <w:r>
        <w:rPr>
          <w:noProof/>
        </w:rPr>
        <w:lastRenderedPageBreak/>
        <w:drawing>
          <wp:inline distT="0" distB="0" distL="114300" distR="114300">
            <wp:extent cx="5266055" cy="2657475"/>
            <wp:effectExtent l="4445" t="4445" r="6350" b="508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4130" w:rsidRDefault="00144130">
      <w:pPr>
        <w:spacing w:line="600" w:lineRule="exact"/>
        <w:ind w:firstLineChars="200" w:firstLine="640"/>
        <w:rPr>
          <w:rFonts w:ascii="仿宋" w:eastAsia="仿宋" w:hAnsi="仿宋"/>
          <w:sz w:val="32"/>
          <w:szCs w:val="32"/>
        </w:rPr>
      </w:pPr>
    </w:p>
    <w:p w:rsidR="00144130" w:rsidRDefault="00C1571D">
      <w:pPr>
        <w:spacing w:line="600" w:lineRule="exact"/>
        <w:ind w:firstLineChars="200" w:firstLine="643"/>
        <w:outlineLvl w:val="2"/>
        <w:rPr>
          <w:rFonts w:ascii="仿宋" w:eastAsia="仿宋" w:hAnsi="仿宋"/>
          <w:b/>
          <w:sz w:val="32"/>
          <w:szCs w:val="32"/>
        </w:rPr>
      </w:pPr>
      <w:bookmarkStart w:id="31" w:name="_Toc15377211"/>
      <w:r>
        <w:rPr>
          <w:rFonts w:ascii="仿宋" w:eastAsia="仿宋" w:hAnsi="仿宋" w:hint="eastAsia"/>
          <w:b/>
          <w:sz w:val="32"/>
          <w:szCs w:val="32"/>
        </w:rPr>
        <w:t>（二）一般公共预算财政拨款支出决算结构情况</w:t>
      </w:r>
      <w:bookmarkEnd w:id="31"/>
    </w:p>
    <w:p w:rsidR="00144130" w:rsidRDefault="00C1571D">
      <w:pPr>
        <w:spacing w:line="600" w:lineRule="exact"/>
        <w:ind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年一般公共预算财政拨款支出</w:t>
      </w:r>
      <w:r>
        <w:rPr>
          <w:rFonts w:ascii="仿宋" w:eastAsia="仿宋" w:hAnsi="仿宋" w:hint="eastAsia"/>
          <w:sz w:val="32"/>
          <w:szCs w:val="32"/>
        </w:rPr>
        <w:t>7666.</w:t>
      </w:r>
      <w:r>
        <w:rPr>
          <w:rFonts w:ascii="仿宋" w:eastAsia="仿宋" w:hAnsi="仿宋" w:hint="eastAsia"/>
          <w:sz w:val="32"/>
          <w:szCs w:val="32"/>
        </w:rPr>
        <w:t>45</w:t>
      </w:r>
      <w:r>
        <w:rPr>
          <w:rFonts w:ascii="仿宋" w:eastAsia="仿宋" w:hAnsi="仿宋" w:hint="eastAsia"/>
          <w:sz w:val="32"/>
          <w:szCs w:val="32"/>
        </w:rPr>
        <w:t>万元，主要用于以下方面</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w:t>
      </w:r>
      <w:r>
        <w:rPr>
          <w:rFonts w:ascii="仿宋" w:eastAsia="仿宋" w:hAnsi="仿宋" w:hint="eastAsia"/>
          <w:sz w:val="32"/>
          <w:szCs w:val="32"/>
        </w:rPr>
        <w:t>40</w:t>
      </w:r>
      <w:r>
        <w:rPr>
          <w:rFonts w:ascii="仿宋" w:eastAsia="仿宋" w:hAnsi="仿宋" w:hint="eastAsia"/>
          <w:sz w:val="32"/>
          <w:szCs w:val="32"/>
        </w:rPr>
        <w:t>万元，占</w:t>
      </w:r>
      <w:r>
        <w:rPr>
          <w:rFonts w:ascii="仿宋" w:eastAsia="仿宋" w:hAnsi="仿宋" w:hint="eastAsia"/>
          <w:sz w:val="32"/>
          <w:szCs w:val="32"/>
        </w:rPr>
        <w:t>0.52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w:t>
      </w:r>
      <w:r>
        <w:rPr>
          <w:rFonts w:ascii="仿宋" w:eastAsia="仿宋" w:hAnsi="仿宋" w:hint="eastAsia"/>
          <w:sz w:val="32"/>
          <w:szCs w:val="32"/>
        </w:rPr>
        <w:t>出</w:t>
      </w:r>
      <w:r>
        <w:rPr>
          <w:rFonts w:ascii="仿宋" w:eastAsia="仿宋" w:hAnsi="仿宋" w:hint="eastAsia"/>
          <w:sz w:val="32"/>
          <w:szCs w:val="32"/>
        </w:rPr>
        <w:t>2100.1</w:t>
      </w:r>
      <w:r w:rsidR="00B0753D">
        <w:rPr>
          <w:rFonts w:ascii="仿宋" w:eastAsia="仿宋" w:hAnsi="仿宋"/>
          <w:sz w:val="32"/>
          <w:szCs w:val="32"/>
        </w:rPr>
        <w:t>0</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27.39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236.92</w:t>
      </w:r>
      <w:r>
        <w:rPr>
          <w:rFonts w:ascii="仿宋" w:eastAsia="仿宋" w:hAnsi="仿宋" w:hint="eastAsia"/>
          <w:sz w:val="32"/>
          <w:szCs w:val="32"/>
        </w:rPr>
        <w:t>万元，占</w:t>
      </w:r>
      <w:r>
        <w:rPr>
          <w:rFonts w:ascii="仿宋" w:eastAsia="仿宋" w:hAnsi="仿宋" w:hint="eastAsia"/>
          <w:sz w:val="32"/>
          <w:szCs w:val="32"/>
        </w:rPr>
        <w:t>3.09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资源勘探工业信息等</w:t>
      </w:r>
      <w:r>
        <w:rPr>
          <w:rFonts w:ascii="仿宋" w:eastAsia="仿宋" w:hAnsi="仿宋" w:hint="eastAsia"/>
          <w:sz w:val="32"/>
          <w:szCs w:val="32"/>
        </w:rPr>
        <w:t>支出</w:t>
      </w:r>
      <w:r>
        <w:rPr>
          <w:rFonts w:ascii="仿宋" w:eastAsia="仿宋" w:hAnsi="仿宋" w:hint="eastAsia"/>
          <w:sz w:val="32"/>
          <w:szCs w:val="32"/>
        </w:rPr>
        <w:t>3914.7</w:t>
      </w:r>
      <w:r w:rsidR="00B0753D">
        <w:rPr>
          <w:rFonts w:ascii="仿宋" w:eastAsia="仿宋" w:hAnsi="仿宋"/>
          <w:sz w:val="32"/>
          <w:szCs w:val="32"/>
        </w:rPr>
        <w:t>5</w:t>
      </w:r>
      <w:r>
        <w:rPr>
          <w:rFonts w:ascii="仿宋" w:eastAsia="仿宋" w:hAnsi="仿宋" w:hint="eastAsia"/>
          <w:sz w:val="32"/>
          <w:szCs w:val="32"/>
        </w:rPr>
        <w:t>万元，占</w:t>
      </w:r>
      <w:r>
        <w:rPr>
          <w:rFonts w:ascii="仿宋" w:eastAsia="仿宋" w:hAnsi="仿宋" w:hint="eastAsia"/>
          <w:sz w:val="32"/>
          <w:szCs w:val="32"/>
        </w:rPr>
        <w:t>51.07%</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1374.68</w:t>
      </w:r>
      <w:r>
        <w:rPr>
          <w:rFonts w:ascii="仿宋" w:eastAsia="仿宋" w:hAnsi="仿宋" w:hint="eastAsia"/>
          <w:sz w:val="32"/>
          <w:szCs w:val="32"/>
        </w:rPr>
        <w:t>万元，占</w:t>
      </w:r>
      <w:r>
        <w:rPr>
          <w:rFonts w:ascii="仿宋" w:eastAsia="仿宋" w:hAnsi="仿宋" w:hint="eastAsia"/>
          <w:sz w:val="32"/>
          <w:szCs w:val="32"/>
        </w:rPr>
        <w:t>17.93</w:t>
      </w:r>
      <w:r>
        <w:rPr>
          <w:rFonts w:ascii="仿宋" w:eastAsia="仿宋" w:hAnsi="仿宋"/>
          <w:sz w:val="32"/>
          <w:szCs w:val="32"/>
        </w:rPr>
        <w:t>%</w:t>
      </w:r>
      <w:r>
        <w:rPr>
          <w:rFonts w:ascii="仿宋" w:eastAsia="仿宋" w:hAnsi="仿宋" w:hint="eastAsia"/>
          <w:sz w:val="32"/>
          <w:szCs w:val="32"/>
        </w:rPr>
        <w:t>。</w:t>
      </w:r>
    </w:p>
    <w:p w:rsidR="00144130" w:rsidRDefault="00144130">
      <w:pPr>
        <w:pStyle w:val="a0"/>
        <w:spacing w:before="93"/>
        <w:ind w:firstLineChars="200" w:firstLine="640"/>
        <w:rPr>
          <w:rFonts w:ascii="仿宋" w:eastAsia="仿宋" w:hAnsi="仿宋"/>
          <w:kern w:val="2"/>
          <w:sz w:val="32"/>
          <w:szCs w:val="32"/>
        </w:rPr>
      </w:pPr>
    </w:p>
    <w:p w:rsidR="00144130" w:rsidRDefault="00144130">
      <w:pPr>
        <w:pStyle w:val="a0"/>
        <w:spacing w:before="93"/>
        <w:ind w:firstLineChars="200" w:firstLine="640"/>
        <w:rPr>
          <w:rFonts w:ascii="仿宋" w:eastAsia="仿宋" w:hAnsi="仿宋"/>
          <w:kern w:val="2"/>
          <w:sz w:val="32"/>
          <w:szCs w:val="32"/>
        </w:rPr>
      </w:pPr>
    </w:p>
    <w:p w:rsidR="00144130" w:rsidRDefault="00C1571D">
      <w:pPr>
        <w:pStyle w:val="a0"/>
        <w:spacing w:before="93"/>
        <w:ind w:firstLineChars="200" w:firstLine="640"/>
        <w:rPr>
          <w:rFonts w:eastAsia="仿宋"/>
        </w:rPr>
      </w:pPr>
      <w:r>
        <w:rPr>
          <w:rFonts w:ascii="仿宋" w:eastAsia="仿宋" w:hAnsi="仿宋" w:hint="eastAsia"/>
          <w:kern w:val="2"/>
          <w:sz w:val="32"/>
          <w:szCs w:val="32"/>
        </w:rPr>
        <w:t>一般公共预算财政拨款支出决算结构图如下：</w:t>
      </w:r>
    </w:p>
    <w:p w:rsidR="00144130" w:rsidRDefault="00C1571D">
      <w:pPr>
        <w:pStyle w:val="a0"/>
        <w:spacing w:before="93"/>
      </w:pPr>
      <w:r>
        <w:rPr>
          <w:noProof/>
        </w:rPr>
        <w:lastRenderedPageBreak/>
        <w:drawing>
          <wp:inline distT="0" distB="0" distL="114300" distR="114300">
            <wp:extent cx="5237480" cy="2752725"/>
            <wp:effectExtent l="4445" t="4445" r="15875" b="508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4130" w:rsidRDefault="00144130">
      <w:pPr>
        <w:spacing w:line="600" w:lineRule="exact"/>
        <w:rPr>
          <w:rFonts w:ascii="仿宋" w:eastAsia="仿宋" w:hAnsi="仿宋"/>
          <w:sz w:val="32"/>
          <w:szCs w:val="32"/>
        </w:rPr>
      </w:pPr>
    </w:p>
    <w:p w:rsidR="00144130" w:rsidRDefault="00C1571D">
      <w:pPr>
        <w:spacing w:line="600" w:lineRule="exact"/>
        <w:ind w:firstLineChars="200" w:firstLine="643"/>
        <w:outlineLvl w:val="2"/>
        <w:rPr>
          <w:rFonts w:ascii="仿宋" w:eastAsia="仿宋" w:hAnsi="仿宋"/>
          <w:b/>
          <w:sz w:val="32"/>
          <w:szCs w:val="32"/>
        </w:rPr>
      </w:pPr>
      <w:bookmarkStart w:id="32" w:name="_Toc15377212"/>
      <w:r>
        <w:rPr>
          <w:rFonts w:ascii="仿宋" w:eastAsia="仿宋" w:hAnsi="仿宋" w:hint="eastAsia"/>
          <w:b/>
          <w:sz w:val="32"/>
          <w:szCs w:val="32"/>
        </w:rPr>
        <w:t>（三）一般公共预算财政拨款支出决算具体情况</w:t>
      </w:r>
      <w:bookmarkStart w:id="33" w:name="_Toc15377444"/>
      <w:bookmarkStart w:id="34" w:name="_Toc15378460"/>
      <w:bookmarkStart w:id="35" w:name="_Toc15377213"/>
      <w:bookmarkEnd w:id="32"/>
    </w:p>
    <w:p w:rsidR="00144130" w:rsidRDefault="00C1571D">
      <w:pPr>
        <w:spacing w:line="600" w:lineRule="exact"/>
        <w:ind w:firstLineChars="200" w:firstLine="643"/>
        <w:outlineLvl w:val="2"/>
        <w:rPr>
          <w:rFonts w:ascii="仿宋" w:eastAsia="仿宋" w:hAnsi="仿宋"/>
          <w:sz w:val="32"/>
          <w:szCs w:val="32"/>
        </w:rPr>
      </w:pPr>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7666.45</w:t>
      </w:r>
      <w:r>
        <w:rPr>
          <w:rFonts w:ascii="仿宋" w:eastAsia="仿宋" w:hAnsi="仿宋" w:hint="eastAsia"/>
          <w:b/>
          <w:sz w:val="32"/>
          <w:szCs w:val="32"/>
        </w:rPr>
        <w:t>万元</w:t>
      </w:r>
      <w:r>
        <w:rPr>
          <w:rFonts w:ascii="仿宋" w:eastAsia="仿宋" w:hAnsi="仿宋" w:hint="eastAsia"/>
          <w:sz w:val="32"/>
          <w:szCs w:val="32"/>
        </w:rPr>
        <w:t>，</w:t>
      </w:r>
      <w:r>
        <w:rPr>
          <w:rStyle w:val="ac"/>
          <w:rFonts w:ascii="仿宋" w:eastAsia="仿宋" w:hAnsi="仿宋" w:hint="eastAsia"/>
          <w:bCs/>
          <w:sz w:val="32"/>
          <w:szCs w:val="32"/>
        </w:rPr>
        <w:t>完成预算</w:t>
      </w:r>
      <w:r>
        <w:rPr>
          <w:rStyle w:val="ac"/>
          <w:rFonts w:ascii="仿宋" w:eastAsia="仿宋" w:hAnsi="仿宋" w:hint="eastAsia"/>
          <w:bCs/>
          <w:sz w:val="32"/>
          <w:szCs w:val="32"/>
        </w:rPr>
        <w:t>100</w:t>
      </w:r>
      <w:r>
        <w:rPr>
          <w:rStyle w:val="ac"/>
          <w:rFonts w:ascii="仿宋" w:eastAsia="仿宋" w:hAnsi="仿宋"/>
          <w:bCs/>
          <w:sz w:val="32"/>
          <w:szCs w:val="32"/>
        </w:rPr>
        <w:t>%</w:t>
      </w:r>
      <w:r>
        <w:rPr>
          <w:rStyle w:val="ac"/>
          <w:rFonts w:ascii="仿宋" w:eastAsia="仿宋" w:hAnsi="仿宋" w:hint="eastAsia"/>
          <w:bCs/>
          <w:sz w:val="32"/>
          <w:szCs w:val="32"/>
        </w:rPr>
        <w:t>。其中：</w:t>
      </w:r>
      <w:bookmarkEnd w:id="33"/>
      <w:bookmarkEnd w:id="34"/>
      <w:bookmarkEnd w:id="35"/>
    </w:p>
    <w:p w:rsidR="00144130" w:rsidRDefault="00C1571D">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1</w:t>
      </w:r>
      <w:r>
        <w:rPr>
          <w:rStyle w:val="ac"/>
          <w:rFonts w:ascii="仿宋" w:eastAsia="仿宋" w:hAnsi="仿宋"/>
          <w:bCs/>
          <w:sz w:val="32"/>
          <w:szCs w:val="32"/>
        </w:rPr>
        <w:t>.</w:t>
      </w:r>
      <w:r>
        <w:rPr>
          <w:rStyle w:val="ac"/>
          <w:rFonts w:ascii="仿宋" w:eastAsia="仿宋" w:hAnsi="仿宋" w:hint="eastAsia"/>
          <w:bCs/>
          <w:sz w:val="32"/>
          <w:szCs w:val="32"/>
        </w:rPr>
        <w:t>科学技术（类）</w:t>
      </w:r>
      <w:r>
        <w:rPr>
          <w:rStyle w:val="ac"/>
          <w:rFonts w:ascii="仿宋" w:eastAsia="仿宋" w:hAnsi="仿宋" w:hint="eastAsia"/>
          <w:bCs/>
          <w:sz w:val="32"/>
          <w:szCs w:val="32"/>
        </w:rPr>
        <w:t>科技重大项目</w:t>
      </w:r>
      <w:r>
        <w:rPr>
          <w:rStyle w:val="ac"/>
          <w:rFonts w:ascii="仿宋" w:eastAsia="仿宋" w:hAnsi="仿宋" w:hint="eastAsia"/>
          <w:bCs/>
          <w:sz w:val="32"/>
          <w:szCs w:val="32"/>
        </w:rPr>
        <w:t>（款）</w:t>
      </w:r>
      <w:r>
        <w:rPr>
          <w:rStyle w:val="ac"/>
          <w:rFonts w:ascii="仿宋" w:eastAsia="仿宋" w:hAnsi="仿宋" w:hint="eastAsia"/>
          <w:bCs/>
          <w:sz w:val="32"/>
          <w:szCs w:val="32"/>
        </w:rPr>
        <w:t>重点研发计划</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40</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144130" w:rsidRDefault="00C1571D">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2</w:t>
      </w:r>
      <w:r>
        <w:rPr>
          <w:rStyle w:val="ac"/>
          <w:rFonts w:ascii="仿宋" w:eastAsia="仿宋" w:hAnsi="仿宋"/>
          <w:bCs/>
          <w:sz w:val="32"/>
          <w:szCs w:val="32"/>
        </w:rPr>
        <w:t>.</w:t>
      </w:r>
      <w:r>
        <w:rPr>
          <w:rStyle w:val="ac"/>
          <w:rFonts w:ascii="仿宋" w:eastAsia="仿宋" w:hAnsi="仿宋" w:hint="eastAsia"/>
          <w:bCs/>
          <w:sz w:val="32"/>
          <w:szCs w:val="32"/>
        </w:rPr>
        <w:t>社会保障和就业（类）</w:t>
      </w:r>
      <w:r>
        <w:rPr>
          <w:rStyle w:val="ac"/>
          <w:rFonts w:ascii="仿宋" w:eastAsia="仿宋" w:hAnsi="仿宋" w:hint="eastAsia"/>
          <w:bCs/>
          <w:sz w:val="32"/>
          <w:szCs w:val="32"/>
        </w:rPr>
        <w:t>行政事业单位养老支出</w:t>
      </w:r>
      <w:r>
        <w:rPr>
          <w:rStyle w:val="ac"/>
          <w:rFonts w:ascii="仿宋" w:eastAsia="仿宋" w:hAnsi="仿宋" w:hint="eastAsia"/>
          <w:bCs/>
          <w:sz w:val="32"/>
          <w:szCs w:val="32"/>
        </w:rPr>
        <w:t>（款）</w:t>
      </w:r>
      <w:r>
        <w:rPr>
          <w:rStyle w:val="ac"/>
          <w:rFonts w:ascii="仿宋" w:eastAsia="仿宋" w:hAnsi="仿宋" w:hint="eastAsia"/>
          <w:bCs/>
          <w:sz w:val="32"/>
          <w:szCs w:val="32"/>
        </w:rPr>
        <w:t>事业单位离退休</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1053.6</w:t>
      </w:r>
      <w:r w:rsidR="00A559FB">
        <w:rPr>
          <w:rStyle w:val="ac"/>
          <w:rFonts w:ascii="仿宋" w:eastAsia="仿宋" w:hAnsi="仿宋"/>
          <w:b w:val="0"/>
          <w:bCs/>
          <w:sz w:val="32"/>
          <w:szCs w:val="32"/>
        </w:rPr>
        <w:t>0</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144130" w:rsidRDefault="00C1571D">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3</w:t>
      </w:r>
      <w:r>
        <w:rPr>
          <w:rStyle w:val="ac"/>
          <w:rFonts w:ascii="仿宋" w:eastAsia="仿宋" w:hAnsi="仿宋"/>
          <w:bCs/>
          <w:sz w:val="32"/>
          <w:szCs w:val="32"/>
        </w:rPr>
        <w:t>.</w:t>
      </w:r>
      <w:r>
        <w:rPr>
          <w:rStyle w:val="ac"/>
          <w:rFonts w:ascii="仿宋" w:eastAsia="仿宋" w:hAnsi="仿宋" w:hint="eastAsia"/>
          <w:bCs/>
          <w:sz w:val="32"/>
          <w:szCs w:val="32"/>
        </w:rPr>
        <w:t>社会保障和就业（类）</w:t>
      </w:r>
      <w:r>
        <w:rPr>
          <w:rStyle w:val="ac"/>
          <w:rFonts w:ascii="仿宋" w:eastAsia="仿宋" w:hAnsi="仿宋" w:hint="eastAsia"/>
          <w:bCs/>
          <w:sz w:val="32"/>
          <w:szCs w:val="32"/>
        </w:rPr>
        <w:t>行政事业单位养老支出</w:t>
      </w:r>
      <w:r>
        <w:rPr>
          <w:rStyle w:val="ac"/>
          <w:rFonts w:ascii="仿宋" w:eastAsia="仿宋" w:hAnsi="仿宋" w:hint="eastAsia"/>
          <w:bCs/>
          <w:sz w:val="32"/>
          <w:szCs w:val="32"/>
        </w:rPr>
        <w:t>（款）</w:t>
      </w:r>
      <w:r>
        <w:rPr>
          <w:rStyle w:val="ac"/>
          <w:rFonts w:ascii="仿宋" w:eastAsia="仿宋" w:hAnsi="仿宋" w:hint="eastAsia"/>
          <w:bCs/>
          <w:sz w:val="32"/>
          <w:szCs w:val="32"/>
        </w:rPr>
        <w:t>机关事业单位基本养老保险缴费</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655.92</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144130" w:rsidRDefault="00C1571D">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4</w:t>
      </w:r>
      <w:r>
        <w:rPr>
          <w:rStyle w:val="ac"/>
          <w:rFonts w:ascii="仿宋" w:eastAsia="仿宋" w:hAnsi="仿宋"/>
          <w:bCs/>
          <w:sz w:val="32"/>
          <w:szCs w:val="32"/>
        </w:rPr>
        <w:t>.</w:t>
      </w:r>
      <w:r>
        <w:rPr>
          <w:rStyle w:val="ac"/>
          <w:rFonts w:ascii="仿宋" w:eastAsia="仿宋" w:hAnsi="仿宋" w:hint="eastAsia"/>
          <w:bCs/>
          <w:sz w:val="32"/>
          <w:szCs w:val="32"/>
        </w:rPr>
        <w:t>社会保障和就业（类）</w:t>
      </w:r>
      <w:r>
        <w:rPr>
          <w:rStyle w:val="ac"/>
          <w:rFonts w:ascii="仿宋" w:eastAsia="仿宋" w:hAnsi="仿宋" w:hint="eastAsia"/>
          <w:bCs/>
          <w:sz w:val="32"/>
          <w:szCs w:val="32"/>
        </w:rPr>
        <w:t>行政事业单位养老支出</w:t>
      </w:r>
      <w:r>
        <w:rPr>
          <w:rStyle w:val="ac"/>
          <w:rFonts w:ascii="仿宋" w:eastAsia="仿宋" w:hAnsi="仿宋" w:hint="eastAsia"/>
          <w:bCs/>
          <w:sz w:val="32"/>
          <w:szCs w:val="32"/>
        </w:rPr>
        <w:t>（款）</w:t>
      </w:r>
      <w:r>
        <w:rPr>
          <w:rStyle w:val="ac"/>
          <w:rFonts w:ascii="仿宋" w:eastAsia="仿宋" w:hAnsi="仿宋" w:hint="eastAsia"/>
          <w:bCs/>
          <w:sz w:val="32"/>
          <w:szCs w:val="32"/>
        </w:rPr>
        <w:t>机关事业单位职业年金缴费</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327.96</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144130" w:rsidRDefault="00C1571D">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lastRenderedPageBreak/>
        <w:t>5</w:t>
      </w:r>
      <w:r>
        <w:rPr>
          <w:rStyle w:val="ac"/>
          <w:rFonts w:ascii="仿宋" w:eastAsia="仿宋" w:hAnsi="仿宋"/>
          <w:bCs/>
          <w:sz w:val="32"/>
          <w:szCs w:val="32"/>
        </w:rPr>
        <w:t>.</w:t>
      </w:r>
      <w:r>
        <w:rPr>
          <w:rStyle w:val="ac"/>
          <w:rFonts w:ascii="仿宋" w:eastAsia="仿宋" w:hAnsi="仿宋" w:hint="eastAsia"/>
          <w:bCs/>
          <w:sz w:val="32"/>
          <w:szCs w:val="32"/>
        </w:rPr>
        <w:t>社会保障和就业（类）</w:t>
      </w:r>
      <w:r>
        <w:rPr>
          <w:rStyle w:val="ac"/>
          <w:rFonts w:ascii="仿宋" w:eastAsia="仿宋" w:hAnsi="仿宋" w:hint="eastAsia"/>
          <w:bCs/>
          <w:sz w:val="32"/>
          <w:szCs w:val="32"/>
        </w:rPr>
        <w:t>其他社会保障和就业</w:t>
      </w:r>
      <w:r>
        <w:rPr>
          <w:rStyle w:val="ac"/>
          <w:rFonts w:ascii="仿宋" w:eastAsia="仿宋" w:hAnsi="仿宋" w:hint="eastAsia"/>
          <w:bCs/>
          <w:sz w:val="32"/>
          <w:szCs w:val="32"/>
        </w:rPr>
        <w:t>（款）</w:t>
      </w:r>
      <w:r>
        <w:rPr>
          <w:rStyle w:val="ac"/>
          <w:rFonts w:ascii="仿宋" w:eastAsia="仿宋" w:hAnsi="仿宋" w:hint="eastAsia"/>
          <w:bCs/>
          <w:sz w:val="32"/>
          <w:szCs w:val="32"/>
        </w:rPr>
        <w:t>其他社会保障和就业</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62.62</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144130" w:rsidRDefault="00C1571D">
      <w:pPr>
        <w:spacing w:line="600" w:lineRule="exact"/>
        <w:ind w:firstLineChars="200" w:firstLine="643"/>
        <w:rPr>
          <w:rStyle w:val="ac"/>
          <w:rFonts w:ascii="仿宋" w:eastAsia="仿宋" w:hAnsi="仿宋"/>
          <w:b w:val="0"/>
          <w:bCs/>
          <w:sz w:val="32"/>
          <w:szCs w:val="32"/>
        </w:rPr>
      </w:pPr>
      <w:r>
        <w:rPr>
          <w:rFonts w:ascii="仿宋" w:eastAsia="仿宋" w:hAnsi="仿宋" w:hint="eastAsia"/>
          <w:b/>
          <w:bCs/>
          <w:sz w:val="32"/>
          <w:szCs w:val="32"/>
        </w:rPr>
        <w:t>6.</w:t>
      </w:r>
      <w:r>
        <w:rPr>
          <w:rFonts w:ascii="仿宋" w:eastAsia="仿宋" w:hAnsi="仿宋" w:hint="eastAsia"/>
          <w:b/>
          <w:bCs/>
          <w:sz w:val="32"/>
          <w:szCs w:val="32"/>
        </w:rPr>
        <w:t>卫生健康</w:t>
      </w:r>
      <w:r>
        <w:rPr>
          <w:rStyle w:val="ac"/>
          <w:rFonts w:ascii="仿宋" w:eastAsia="仿宋" w:hAnsi="仿宋" w:hint="eastAsia"/>
          <w:bCs/>
          <w:sz w:val="32"/>
          <w:szCs w:val="32"/>
        </w:rPr>
        <w:t>（类）</w:t>
      </w:r>
      <w:r>
        <w:rPr>
          <w:rStyle w:val="ac"/>
          <w:rFonts w:ascii="仿宋" w:eastAsia="仿宋" w:hAnsi="仿宋" w:hint="eastAsia"/>
          <w:bCs/>
          <w:sz w:val="32"/>
          <w:szCs w:val="32"/>
        </w:rPr>
        <w:t>行政事业单位医疗</w:t>
      </w:r>
      <w:r>
        <w:rPr>
          <w:rStyle w:val="ac"/>
          <w:rFonts w:ascii="仿宋" w:eastAsia="仿宋" w:hAnsi="仿宋" w:hint="eastAsia"/>
          <w:bCs/>
          <w:sz w:val="32"/>
          <w:szCs w:val="32"/>
        </w:rPr>
        <w:t>（款）</w:t>
      </w:r>
      <w:r>
        <w:rPr>
          <w:rStyle w:val="ac"/>
          <w:rFonts w:ascii="仿宋" w:eastAsia="仿宋" w:hAnsi="仿宋" w:hint="eastAsia"/>
          <w:bCs/>
          <w:sz w:val="32"/>
          <w:szCs w:val="32"/>
        </w:rPr>
        <w:t>事业单位医疗</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236.92</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144130" w:rsidRDefault="00C1571D">
      <w:pPr>
        <w:pStyle w:val="a0"/>
        <w:spacing w:before="93"/>
        <w:ind w:firstLineChars="200" w:firstLine="643"/>
        <w:rPr>
          <w:rStyle w:val="ac"/>
          <w:rFonts w:ascii="仿宋" w:eastAsia="仿宋" w:hAnsi="仿宋"/>
          <w:b w:val="0"/>
          <w:bCs/>
          <w:sz w:val="32"/>
          <w:szCs w:val="32"/>
        </w:rPr>
      </w:pPr>
      <w:r>
        <w:rPr>
          <w:rFonts w:ascii="仿宋" w:eastAsia="仿宋" w:hAnsi="仿宋" w:hint="eastAsia"/>
          <w:b/>
          <w:bCs/>
          <w:kern w:val="2"/>
          <w:sz w:val="32"/>
          <w:szCs w:val="32"/>
        </w:rPr>
        <w:t>7.</w:t>
      </w:r>
      <w:r>
        <w:rPr>
          <w:rFonts w:ascii="仿宋" w:eastAsia="仿宋" w:hAnsi="仿宋" w:hint="eastAsia"/>
          <w:b/>
          <w:bCs/>
          <w:sz w:val="32"/>
          <w:szCs w:val="32"/>
        </w:rPr>
        <w:t>资源勘探工业信息等</w:t>
      </w:r>
      <w:r>
        <w:rPr>
          <w:rStyle w:val="ac"/>
          <w:rFonts w:ascii="仿宋" w:eastAsia="仿宋" w:hAnsi="仿宋" w:hint="eastAsia"/>
          <w:bCs/>
          <w:sz w:val="32"/>
          <w:szCs w:val="32"/>
        </w:rPr>
        <w:t>（类）</w:t>
      </w:r>
      <w:r>
        <w:rPr>
          <w:rStyle w:val="ac"/>
          <w:rFonts w:ascii="仿宋" w:eastAsia="仿宋" w:hAnsi="仿宋" w:hint="eastAsia"/>
          <w:bCs/>
          <w:sz w:val="32"/>
          <w:szCs w:val="32"/>
        </w:rPr>
        <w:t>资源勘探开发</w:t>
      </w:r>
      <w:r>
        <w:rPr>
          <w:rStyle w:val="ac"/>
          <w:rFonts w:ascii="仿宋" w:eastAsia="仿宋" w:hAnsi="仿宋" w:hint="eastAsia"/>
          <w:bCs/>
          <w:sz w:val="32"/>
          <w:szCs w:val="32"/>
        </w:rPr>
        <w:t>（款）</w:t>
      </w:r>
      <w:r>
        <w:rPr>
          <w:rStyle w:val="ac"/>
          <w:rFonts w:ascii="仿宋" w:eastAsia="仿宋" w:hAnsi="仿宋" w:hint="eastAsia"/>
          <w:bCs/>
          <w:sz w:val="32"/>
          <w:szCs w:val="32"/>
        </w:rPr>
        <w:t>其他资源勘探业</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3914.75</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144130" w:rsidRDefault="00C1571D">
      <w:pPr>
        <w:pStyle w:val="a0"/>
        <w:spacing w:before="93"/>
        <w:ind w:firstLineChars="200" w:firstLine="643"/>
        <w:rPr>
          <w:rFonts w:ascii="仿宋" w:eastAsia="仿宋" w:hAnsi="仿宋"/>
          <w:b/>
          <w:sz w:val="32"/>
          <w:szCs w:val="32"/>
        </w:rPr>
      </w:pPr>
      <w:r>
        <w:rPr>
          <w:rFonts w:ascii="仿宋" w:eastAsia="仿宋" w:hAnsi="仿宋" w:hint="eastAsia"/>
          <w:b/>
          <w:bCs/>
          <w:kern w:val="2"/>
          <w:sz w:val="32"/>
          <w:szCs w:val="32"/>
        </w:rPr>
        <w:t>8.</w:t>
      </w:r>
      <w:r>
        <w:rPr>
          <w:rFonts w:ascii="仿宋" w:eastAsia="仿宋" w:hAnsi="仿宋" w:hint="eastAsia"/>
          <w:b/>
          <w:bCs/>
          <w:sz w:val="32"/>
          <w:szCs w:val="32"/>
        </w:rPr>
        <w:t>住房保障支出</w:t>
      </w:r>
      <w:r>
        <w:rPr>
          <w:rStyle w:val="ac"/>
          <w:rFonts w:ascii="仿宋" w:eastAsia="仿宋" w:hAnsi="仿宋" w:hint="eastAsia"/>
          <w:bCs/>
          <w:sz w:val="32"/>
          <w:szCs w:val="32"/>
        </w:rPr>
        <w:t>（类）</w:t>
      </w:r>
      <w:r>
        <w:rPr>
          <w:rStyle w:val="ac"/>
          <w:rFonts w:ascii="仿宋" w:eastAsia="仿宋" w:hAnsi="仿宋" w:hint="eastAsia"/>
          <w:bCs/>
          <w:sz w:val="32"/>
          <w:szCs w:val="32"/>
        </w:rPr>
        <w:t>住房改革支出</w:t>
      </w:r>
      <w:r>
        <w:rPr>
          <w:rStyle w:val="ac"/>
          <w:rFonts w:ascii="仿宋" w:eastAsia="仿宋" w:hAnsi="仿宋" w:hint="eastAsia"/>
          <w:bCs/>
          <w:sz w:val="32"/>
          <w:szCs w:val="32"/>
        </w:rPr>
        <w:t>（款）</w:t>
      </w:r>
      <w:r>
        <w:rPr>
          <w:rStyle w:val="ac"/>
          <w:rFonts w:ascii="仿宋" w:eastAsia="仿宋" w:hAnsi="仿宋" w:hint="eastAsia"/>
          <w:bCs/>
          <w:sz w:val="32"/>
          <w:szCs w:val="32"/>
        </w:rPr>
        <w:t>住房公积金</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499.37</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r>
        <w:rPr>
          <w:rFonts w:ascii="仿宋" w:eastAsia="仿宋" w:hAnsi="仿宋" w:hint="eastAsia"/>
          <w:b/>
          <w:bCs/>
          <w:sz w:val="32"/>
          <w:szCs w:val="32"/>
        </w:rPr>
        <w:t>住房保障支出</w:t>
      </w:r>
      <w:r>
        <w:rPr>
          <w:rStyle w:val="ac"/>
          <w:rFonts w:ascii="仿宋" w:eastAsia="仿宋" w:hAnsi="仿宋" w:hint="eastAsia"/>
          <w:bCs/>
          <w:sz w:val="32"/>
          <w:szCs w:val="32"/>
        </w:rPr>
        <w:t>（类）</w:t>
      </w:r>
      <w:r>
        <w:rPr>
          <w:rStyle w:val="ac"/>
          <w:rFonts w:ascii="仿宋" w:eastAsia="仿宋" w:hAnsi="仿宋" w:hint="eastAsia"/>
          <w:bCs/>
          <w:sz w:val="32"/>
          <w:szCs w:val="32"/>
        </w:rPr>
        <w:t>住房改革支出</w:t>
      </w:r>
      <w:r>
        <w:rPr>
          <w:rStyle w:val="ac"/>
          <w:rFonts w:ascii="仿宋" w:eastAsia="仿宋" w:hAnsi="仿宋" w:hint="eastAsia"/>
          <w:bCs/>
          <w:sz w:val="32"/>
          <w:szCs w:val="32"/>
        </w:rPr>
        <w:t>（款）</w:t>
      </w:r>
      <w:r>
        <w:rPr>
          <w:rStyle w:val="ac"/>
          <w:rFonts w:ascii="仿宋" w:eastAsia="仿宋" w:hAnsi="仿宋" w:hint="eastAsia"/>
          <w:bCs/>
          <w:sz w:val="32"/>
          <w:szCs w:val="32"/>
        </w:rPr>
        <w:t>购房补贴</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875.3</w:t>
      </w:r>
      <w:r w:rsidR="00A559FB">
        <w:rPr>
          <w:rStyle w:val="ac"/>
          <w:rFonts w:ascii="仿宋" w:eastAsia="仿宋" w:hAnsi="仿宋"/>
          <w:b w:val="0"/>
          <w:bCs/>
          <w:sz w:val="32"/>
          <w:szCs w:val="32"/>
        </w:rPr>
        <w:t>1</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144130" w:rsidRDefault="00144130">
      <w:pPr>
        <w:tabs>
          <w:tab w:val="right" w:pos="8306"/>
        </w:tabs>
        <w:spacing w:line="600" w:lineRule="exact"/>
        <w:ind w:firstLine="640"/>
        <w:outlineLvl w:val="1"/>
        <w:rPr>
          <w:rFonts w:ascii="黑体" w:eastAsia="黑体"/>
          <w:sz w:val="32"/>
          <w:szCs w:val="32"/>
        </w:rPr>
      </w:pPr>
      <w:bookmarkStart w:id="36" w:name="_Toc15377214"/>
      <w:bookmarkStart w:id="37" w:name="_Toc15396608"/>
    </w:p>
    <w:p w:rsidR="00144130" w:rsidRDefault="00C1571D">
      <w:pPr>
        <w:tabs>
          <w:tab w:val="right" w:pos="8306"/>
        </w:tabs>
        <w:spacing w:line="600" w:lineRule="exact"/>
        <w:ind w:firstLine="640"/>
        <w:outlineLvl w:val="1"/>
        <w:rPr>
          <w:rStyle w:val="20"/>
        </w:rPr>
      </w:pPr>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36"/>
      <w:bookmarkEnd w:id="37"/>
      <w:r>
        <w:rPr>
          <w:rStyle w:val="20"/>
          <w:rFonts w:ascii="黑体" w:eastAsia="黑体" w:hAnsi="黑体"/>
          <w:b w:val="0"/>
        </w:rPr>
        <w:tab/>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年一般公共预算财政拨款基本支出</w:t>
      </w:r>
      <w:r>
        <w:rPr>
          <w:rFonts w:ascii="仿宋" w:eastAsia="仿宋" w:hAnsi="仿宋" w:hint="eastAsia"/>
          <w:sz w:val="32"/>
          <w:szCs w:val="32"/>
        </w:rPr>
        <w:t>6615.45</w:t>
      </w:r>
      <w:r>
        <w:rPr>
          <w:rFonts w:ascii="仿宋" w:eastAsia="仿宋" w:hAnsi="仿宋" w:hint="eastAsia"/>
          <w:sz w:val="32"/>
          <w:szCs w:val="32"/>
        </w:rPr>
        <w:t>万元，其中：</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6464.54</w:t>
      </w:r>
      <w:r>
        <w:rPr>
          <w:rFonts w:ascii="仿宋" w:eastAsia="仿宋" w:hAnsi="仿宋" w:hint="eastAsia"/>
          <w:sz w:val="32"/>
          <w:szCs w:val="32"/>
        </w:rPr>
        <w:t>万元，主要包括：基本工资、津贴补贴、机关事业单位基本养老保险缴费、职业年金缴费、职工基本医疗保险缴费、其他社会保障缴费、住房公积金、其他工资福利支出、离休费、退休费、生活补助、奖励金、其他对个人和家庭的补助。</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150.91</w:t>
      </w:r>
      <w:r>
        <w:rPr>
          <w:rFonts w:ascii="仿宋" w:eastAsia="仿宋" w:hAnsi="仿宋" w:hint="eastAsia"/>
          <w:sz w:val="32"/>
          <w:szCs w:val="32"/>
        </w:rPr>
        <w:t>万元，主要包括：维修（护）费、工会经费、福利费、其他商品和服务支出。</w:t>
      </w:r>
    </w:p>
    <w:p w:rsidR="00144130" w:rsidRDefault="00144130">
      <w:pPr>
        <w:spacing w:line="600" w:lineRule="exact"/>
        <w:ind w:firstLine="640"/>
        <w:outlineLvl w:val="1"/>
        <w:rPr>
          <w:rFonts w:ascii="黑体" w:eastAsia="黑体"/>
          <w:sz w:val="32"/>
          <w:szCs w:val="32"/>
        </w:rPr>
      </w:pPr>
      <w:bookmarkStart w:id="38" w:name="_Toc15377215"/>
      <w:bookmarkStart w:id="39" w:name="_Toc15396609"/>
    </w:p>
    <w:p w:rsidR="00144130" w:rsidRDefault="00C1571D">
      <w:pPr>
        <w:spacing w:line="600" w:lineRule="exact"/>
        <w:ind w:firstLine="640"/>
        <w:outlineLvl w:val="1"/>
        <w:rPr>
          <w:rStyle w:val="20"/>
          <w:rFonts w:ascii="黑体" w:eastAsia="黑体" w:hAnsi="黑体"/>
          <w:b w:val="0"/>
        </w:rPr>
      </w:pPr>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38"/>
      <w:bookmarkEnd w:id="39"/>
    </w:p>
    <w:p w:rsidR="00144130" w:rsidRDefault="00C1571D">
      <w:pPr>
        <w:ind w:firstLineChars="200" w:firstLine="640"/>
        <w:rPr>
          <w:rFonts w:ascii="仿宋" w:eastAsia="仿宋" w:hAnsi="仿宋"/>
          <w:sz w:val="32"/>
          <w:szCs w:val="32"/>
        </w:rPr>
      </w:pPr>
      <w:bookmarkStart w:id="40" w:name="_Toc15377218"/>
      <w:bookmarkStart w:id="41" w:name="_Toc15396610"/>
      <w:r>
        <w:rPr>
          <w:rFonts w:ascii="仿宋" w:eastAsia="仿宋" w:hAnsi="仿宋" w:hint="eastAsia"/>
          <w:sz w:val="32"/>
          <w:szCs w:val="32"/>
        </w:rPr>
        <w:t>本单位为事业单位，无三公经费。</w:t>
      </w:r>
      <w:r>
        <w:rPr>
          <w:rFonts w:ascii="仿宋" w:eastAsia="仿宋" w:hAnsi="仿宋" w:hint="eastAsia"/>
          <w:sz w:val="32"/>
          <w:szCs w:val="32"/>
        </w:rPr>
        <w:t>2020</w:t>
      </w:r>
      <w:r>
        <w:rPr>
          <w:rFonts w:ascii="仿宋" w:eastAsia="仿宋" w:hAnsi="仿宋" w:hint="eastAsia"/>
          <w:sz w:val="32"/>
          <w:szCs w:val="32"/>
        </w:rPr>
        <w:t>年三</w:t>
      </w:r>
      <w:proofErr w:type="gramStart"/>
      <w:r>
        <w:rPr>
          <w:rFonts w:ascii="仿宋" w:eastAsia="仿宋" w:hAnsi="仿宋" w:hint="eastAsia"/>
          <w:sz w:val="32"/>
          <w:szCs w:val="32"/>
        </w:rPr>
        <w:t>公经费</w:t>
      </w:r>
      <w:proofErr w:type="gramEnd"/>
      <w:r>
        <w:rPr>
          <w:rFonts w:ascii="仿宋" w:eastAsia="仿宋" w:hAnsi="仿宋" w:hint="eastAsia"/>
          <w:sz w:val="32"/>
          <w:szCs w:val="32"/>
        </w:rPr>
        <w:t>为</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年三</w:t>
      </w:r>
      <w:proofErr w:type="gramStart"/>
      <w:r>
        <w:rPr>
          <w:rFonts w:ascii="仿宋" w:eastAsia="仿宋" w:hAnsi="仿宋" w:hint="eastAsia"/>
          <w:sz w:val="32"/>
          <w:szCs w:val="32"/>
        </w:rPr>
        <w:t>公经费</w:t>
      </w:r>
      <w:proofErr w:type="gramEnd"/>
      <w:r>
        <w:rPr>
          <w:rFonts w:ascii="仿宋" w:eastAsia="仿宋" w:hAnsi="仿宋" w:hint="eastAsia"/>
          <w:sz w:val="32"/>
          <w:szCs w:val="32"/>
        </w:rPr>
        <w:t>为</w:t>
      </w:r>
      <w:r>
        <w:rPr>
          <w:rFonts w:ascii="仿宋" w:eastAsia="仿宋" w:hAnsi="仿宋" w:hint="eastAsia"/>
          <w:sz w:val="32"/>
          <w:szCs w:val="32"/>
        </w:rPr>
        <w:t>0</w:t>
      </w:r>
      <w:r>
        <w:rPr>
          <w:rFonts w:ascii="仿宋" w:eastAsia="仿宋" w:hAnsi="仿宋" w:hint="eastAsia"/>
          <w:sz w:val="32"/>
          <w:szCs w:val="32"/>
        </w:rPr>
        <w:t>，与上年度一致，与上年度相比无增减变化。</w:t>
      </w:r>
    </w:p>
    <w:p w:rsidR="00144130" w:rsidRDefault="00144130">
      <w:pPr>
        <w:spacing w:line="600" w:lineRule="exact"/>
        <w:ind w:firstLine="640"/>
        <w:outlineLvl w:val="1"/>
        <w:rPr>
          <w:rFonts w:ascii="黑体" w:eastAsia="黑体"/>
          <w:sz w:val="32"/>
          <w:szCs w:val="32"/>
        </w:rPr>
      </w:pPr>
    </w:p>
    <w:p w:rsidR="00144130" w:rsidRDefault="00C1571D">
      <w:pPr>
        <w:spacing w:line="600" w:lineRule="exact"/>
        <w:ind w:firstLine="640"/>
        <w:outlineLvl w:val="1"/>
        <w:rPr>
          <w:rStyle w:val="20"/>
          <w:rFonts w:ascii="黑体" w:eastAsia="黑体" w:hAnsi="黑体"/>
        </w:rPr>
      </w:pPr>
      <w:r>
        <w:rPr>
          <w:rFonts w:ascii="黑体" w:eastAsia="黑体" w:hint="eastAsia"/>
          <w:sz w:val="32"/>
          <w:szCs w:val="32"/>
        </w:rPr>
        <w:t>八、</w:t>
      </w:r>
      <w:r>
        <w:rPr>
          <w:rStyle w:val="20"/>
          <w:rFonts w:ascii="黑体" w:eastAsia="黑体" w:hAnsi="黑体" w:hint="eastAsia"/>
          <w:b w:val="0"/>
        </w:rPr>
        <w:t>政府性基金预算支出决算情况说明</w:t>
      </w:r>
      <w:bookmarkEnd w:id="40"/>
      <w:bookmarkEnd w:id="41"/>
    </w:p>
    <w:p w:rsidR="00144130" w:rsidRDefault="00C1571D">
      <w:pPr>
        <w:spacing w:line="600" w:lineRule="exact"/>
        <w:ind w:firstLine="640"/>
        <w:rPr>
          <w:rFonts w:ascii="仿宋_GB2312" w:eastAsia="仿宋_GB2312"/>
          <w:sz w:val="32"/>
          <w:szCs w:val="32"/>
        </w:rPr>
      </w:pPr>
      <w:r>
        <w:rPr>
          <w:rFonts w:ascii="仿宋" w:eastAsia="仿宋" w:hAnsi="仿宋" w:hint="eastAsia"/>
          <w:sz w:val="32"/>
          <w:szCs w:val="32"/>
        </w:rPr>
        <w:t>2021</w:t>
      </w:r>
      <w:r>
        <w:rPr>
          <w:rFonts w:ascii="仿宋" w:eastAsia="仿宋" w:hAnsi="仿宋" w:hint="eastAsia"/>
          <w:sz w:val="32"/>
          <w:szCs w:val="32"/>
        </w:rPr>
        <w:t>年政府性基金预算财政拨款支出</w:t>
      </w:r>
      <w:r>
        <w:rPr>
          <w:rFonts w:ascii="仿宋" w:eastAsia="仿宋" w:hAnsi="仿宋" w:hint="eastAsia"/>
          <w:sz w:val="32"/>
          <w:szCs w:val="32"/>
        </w:rPr>
        <w:t>0</w:t>
      </w:r>
      <w:r>
        <w:rPr>
          <w:rFonts w:ascii="仿宋" w:eastAsia="仿宋" w:hAnsi="仿宋" w:hint="eastAsia"/>
          <w:sz w:val="32"/>
          <w:szCs w:val="32"/>
        </w:rPr>
        <w:t>万元。</w:t>
      </w:r>
    </w:p>
    <w:p w:rsidR="00144130" w:rsidRDefault="00144130">
      <w:pPr>
        <w:pStyle w:val="a0"/>
        <w:spacing w:before="93"/>
      </w:pPr>
    </w:p>
    <w:p w:rsidR="00144130" w:rsidRDefault="00C1571D">
      <w:pPr>
        <w:numPr>
          <w:ilvl w:val="0"/>
          <w:numId w:val="3"/>
        </w:numPr>
        <w:spacing w:line="600" w:lineRule="exact"/>
        <w:ind w:firstLine="640"/>
        <w:outlineLvl w:val="1"/>
        <w:rPr>
          <w:rStyle w:val="20"/>
          <w:rFonts w:ascii="黑体" w:eastAsia="黑体" w:hAnsi="黑体"/>
          <w:b w:val="0"/>
        </w:rPr>
      </w:pPr>
      <w:bookmarkStart w:id="42" w:name="_Toc15396611"/>
      <w:bookmarkStart w:id="43" w:name="_Toc15377219"/>
      <w:r>
        <w:rPr>
          <w:rStyle w:val="20"/>
          <w:rFonts w:ascii="黑体" w:eastAsia="黑体" w:hAnsi="黑体" w:hint="eastAsia"/>
          <w:b w:val="0"/>
        </w:rPr>
        <w:t>国有资本经营预算支出决算情况说明</w:t>
      </w:r>
      <w:bookmarkEnd w:id="42"/>
      <w:bookmarkEnd w:id="43"/>
    </w:p>
    <w:p w:rsidR="00144130" w:rsidRDefault="00C1571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年国有资本经营预算财政拨款支出</w:t>
      </w:r>
      <w:r>
        <w:rPr>
          <w:rFonts w:ascii="仿宋" w:eastAsia="仿宋" w:hAnsi="仿宋" w:hint="eastAsia"/>
          <w:sz w:val="32"/>
          <w:szCs w:val="32"/>
        </w:rPr>
        <w:t>0</w:t>
      </w:r>
      <w:r>
        <w:rPr>
          <w:rFonts w:ascii="仿宋" w:eastAsia="仿宋" w:hAnsi="仿宋" w:hint="eastAsia"/>
          <w:sz w:val="32"/>
          <w:szCs w:val="32"/>
        </w:rPr>
        <w:t>万元。</w:t>
      </w:r>
    </w:p>
    <w:p w:rsidR="00144130" w:rsidRDefault="00144130">
      <w:pPr>
        <w:pStyle w:val="a0"/>
        <w:spacing w:before="93"/>
      </w:pPr>
    </w:p>
    <w:p w:rsidR="00144130" w:rsidRDefault="00C1571D">
      <w:pPr>
        <w:numPr>
          <w:ilvl w:val="0"/>
          <w:numId w:val="3"/>
        </w:numPr>
        <w:spacing w:line="600" w:lineRule="exact"/>
        <w:ind w:firstLine="640"/>
        <w:outlineLvl w:val="1"/>
        <w:rPr>
          <w:rStyle w:val="20"/>
          <w:rFonts w:ascii="黑体" w:eastAsia="黑体" w:hAnsi="黑体"/>
          <w:b w:val="0"/>
        </w:rPr>
      </w:pPr>
      <w:bookmarkStart w:id="44" w:name="_Toc15377221"/>
      <w:bookmarkStart w:id="45" w:name="_Toc15396612"/>
      <w:r>
        <w:rPr>
          <w:rStyle w:val="20"/>
          <w:rFonts w:ascii="黑体" w:eastAsia="黑体" w:hAnsi="黑体" w:hint="eastAsia"/>
          <w:b w:val="0"/>
        </w:rPr>
        <w:t>其他重要事项的情况说明</w:t>
      </w:r>
      <w:bookmarkEnd w:id="44"/>
      <w:bookmarkEnd w:id="45"/>
    </w:p>
    <w:p w:rsidR="00144130" w:rsidRDefault="00C1571D">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144130" w:rsidRDefault="00C1571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年本单位不涉及。</w:t>
      </w:r>
    </w:p>
    <w:p w:rsidR="00144130" w:rsidRDefault="00C1571D">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144130" w:rsidRDefault="00C1571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年，本单位政府采购支出总额</w:t>
      </w:r>
      <w:r>
        <w:rPr>
          <w:rFonts w:ascii="仿宋" w:eastAsia="仿宋" w:hAnsi="仿宋" w:hint="eastAsia"/>
          <w:sz w:val="32"/>
          <w:szCs w:val="32"/>
        </w:rPr>
        <w:t>1600.12</w:t>
      </w:r>
      <w:r>
        <w:rPr>
          <w:rFonts w:ascii="仿宋" w:eastAsia="仿宋" w:hAnsi="仿宋" w:hint="eastAsia"/>
          <w:sz w:val="32"/>
          <w:szCs w:val="32"/>
        </w:rPr>
        <w:t>万元，其中：政府采购货物支出</w:t>
      </w:r>
      <w:r>
        <w:rPr>
          <w:rFonts w:ascii="仿宋" w:eastAsia="仿宋" w:hAnsi="仿宋" w:hint="eastAsia"/>
          <w:sz w:val="32"/>
          <w:szCs w:val="32"/>
        </w:rPr>
        <w:t>1600.12</w:t>
      </w:r>
      <w:r>
        <w:rPr>
          <w:rFonts w:ascii="仿宋" w:eastAsia="仿宋" w:hAnsi="仿宋" w:hint="eastAsia"/>
          <w:sz w:val="32"/>
          <w:szCs w:val="32"/>
        </w:rPr>
        <w:t>万元。主要用于通过购置国内技术先进、性价比较高的钻探设备（</w:t>
      </w:r>
      <w:r>
        <w:rPr>
          <w:rFonts w:ascii="仿宋" w:eastAsia="仿宋" w:hAnsi="仿宋" w:hint="eastAsia"/>
          <w:sz w:val="32"/>
          <w:szCs w:val="32"/>
        </w:rPr>
        <w:t>ZJ40</w:t>
      </w:r>
      <w:r>
        <w:rPr>
          <w:rFonts w:ascii="仿宋" w:eastAsia="仿宋" w:hAnsi="仿宋" w:hint="eastAsia"/>
          <w:sz w:val="32"/>
          <w:szCs w:val="32"/>
        </w:rPr>
        <w:t>及配套设备），进一步拓展地热能产业业务范围，提高地热能产业核心竞争力，提升地勘发展能力。授予中小企业合同金额</w:t>
      </w:r>
      <w:r>
        <w:rPr>
          <w:rFonts w:ascii="仿宋" w:eastAsia="仿宋" w:hAnsi="仿宋" w:hint="eastAsia"/>
          <w:sz w:val="32"/>
          <w:szCs w:val="32"/>
        </w:rPr>
        <w:t>1600.12</w:t>
      </w:r>
      <w:bookmarkStart w:id="48" w:name="_GoBack"/>
      <w:bookmarkEnd w:id="48"/>
      <w:r>
        <w:rPr>
          <w:rFonts w:ascii="仿宋" w:eastAsia="仿宋" w:hAnsi="仿宋" w:hint="eastAsia"/>
          <w:sz w:val="32"/>
          <w:szCs w:val="32"/>
        </w:rPr>
        <w:t>万元，占政府采购支出总额的</w:t>
      </w:r>
      <w:r>
        <w:rPr>
          <w:rFonts w:ascii="仿宋" w:eastAsia="仿宋" w:hAnsi="仿宋" w:hint="eastAsia"/>
          <w:sz w:val="32"/>
          <w:szCs w:val="32"/>
        </w:rPr>
        <w:t>100%</w:t>
      </w:r>
      <w:r>
        <w:rPr>
          <w:rFonts w:ascii="仿宋" w:eastAsia="仿宋" w:hAnsi="仿宋" w:hint="eastAsia"/>
          <w:sz w:val="32"/>
          <w:szCs w:val="32"/>
        </w:rPr>
        <w:t>。其中：授予小</w:t>
      </w:r>
      <w:proofErr w:type="gramStart"/>
      <w:r>
        <w:rPr>
          <w:rFonts w:ascii="仿宋" w:eastAsia="仿宋" w:hAnsi="仿宋" w:hint="eastAsia"/>
          <w:sz w:val="32"/>
          <w:szCs w:val="32"/>
        </w:rPr>
        <w:t>微企业</w:t>
      </w:r>
      <w:proofErr w:type="gramEnd"/>
      <w:r>
        <w:rPr>
          <w:rFonts w:ascii="仿宋" w:eastAsia="仿宋" w:hAnsi="仿宋" w:hint="eastAsia"/>
          <w:sz w:val="32"/>
          <w:szCs w:val="32"/>
        </w:rPr>
        <w:t>合同金额</w:t>
      </w:r>
      <w:r>
        <w:rPr>
          <w:rFonts w:ascii="仿宋" w:eastAsia="仿宋" w:hAnsi="仿宋" w:hint="eastAsia"/>
          <w:sz w:val="32"/>
          <w:szCs w:val="32"/>
        </w:rPr>
        <w:lastRenderedPageBreak/>
        <w:t>0</w:t>
      </w:r>
      <w:r>
        <w:rPr>
          <w:rFonts w:ascii="仿宋" w:eastAsia="仿宋" w:hAnsi="仿宋" w:hint="eastAsia"/>
          <w:sz w:val="32"/>
          <w:szCs w:val="32"/>
        </w:rPr>
        <w:t>万元，占政府采购支出总额的</w:t>
      </w:r>
      <w:r>
        <w:rPr>
          <w:rFonts w:ascii="仿宋" w:eastAsia="仿宋" w:hAnsi="仿宋" w:hint="eastAsia"/>
          <w:sz w:val="32"/>
          <w:szCs w:val="32"/>
        </w:rPr>
        <w:t>0%</w:t>
      </w:r>
      <w:r>
        <w:rPr>
          <w:rFonts w:ascii="仿宋" w:eastAsia="仿宋" w:hAnsi="仿宋" w:hint="eastAsia"/>
          <w:sz w:val="32"/>
          <w:szCs w:val="32"/>
        </w:rPr>
        <w:t>。</w:t>
      </w:r>
    </w:p>
    <w:p w:rsidR="00144130" w:rsidRDefault="00C1571D">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144130" w:rsidRDefault="00C1571D">
      <w:pPr>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日，本单位共有车辆</w:t>
      </w:r>
      <w:r>
        <w:rPr>
          <w:rFonts w:ascii="仿宋" w:eastAsia="仿宋" w:hAnsi="仿宋" w:hint="eastAsia"/>
          <w:sz w:val="32"/>
          <w:szCs w:val="32"/>
        </w:rPr>
        <w:t>4</w:t>
      </w:r>
      <w:r>
        <w:rPr>
          <w:rFonts w:ascii="仿宋" w:eastAsia="仿宋" w:hAnsi="仿宋" w:hint="eastAsia"/>
          <w:sz w:val="32"/>
          <w:szCs w:val="32"/>
        </w:rPr>
        <w:t>辆，其中：其他用车</w:t>
      </w:r>
      <w:r>
        <w:rPr>
          <w:rFonts w:ascii="仿宋" w:eastAsia="仿宋" w:hAnsi="仿宋" w:hint="eastAsia"/>
          <w:sz w:val="32"/>
          <w:szCs w:val="32"/>
        </w:rPr>
        <w:t>4</w:t>
      </w:r>
      <w:r>
        <w:rPr>
          <w:rFonts w:ascii="仿宋" w:eastAsia="仿宋" w:hAnsi="仿宋" w:hint="eastAsia"/>
          <w:sz w:val="32"/>
          <w:szCs w:val="32"/>
        </w:rPr>
        <w:t>辆，其他用车主要是用于单位生产方面；单价</w:t>
      </w:r>
      <w:r>
        <w:rPr>
          <w:rFonts w:ascii="仿宋" w:eastAsia="仿宋" w:hAnsi="仿宋" w:hint="eastAsia"/>
          <w:sz w:val="32"/>
          <w:szCs w:val="32"/>
        </w:rPr>
        <w:t>50</w:t>
      </w:r>
      <w:r>
        <w:rPr>
          <w:rFonts w:ascii="仿宋" w:eastAsia="仿宋" w:hAnsi="仿宋" w:hint="eastAsia"/>
          <w:sz w:val="32"/>
          <w:szCs w:val="32"/>
        </w:rPr>
        <w:t>万元以上通用设备</w:t>
      </w:r>
      <w:r>
        <w:rPr>
          <w:rFonts w:ascii="仿宋" w:eastAsia="仿宋" w:hAnsi="仿宋" w:hint="eastAsia"/>
          <w:sz w:val="32"/>
          <w:szCs w:val="32"/>
        </w:rPr>
        <w:t>6</w:t>
      </w:r>
      <w:r>
        <w:rPr>
          <w:rFonts w:ascii="仿宋" w:eastAsia="仿宋" w:hAnsi="仿宋" w:hint="eastAsia"/>
          <w:sz w:val="32"/>
          <w:szCs w:val="32"/>
        </w:rPr>
        <w:t>台，单价</w:t>
      </w:r>
      <w:r>
        <w:rPr>
          <w:rFonts w:ascii="仿宋" w:eastAsia="仿宋" w:hAnsi="仿宋" w:hint="eastAsia"/>
          <w:sz w:val="32"/>
          <w:szCs w:val="32"/>
        </w:rPr>
        <w:t>100</w:t>
      </w:r>
      <w:r>
        <w:rPr>
          <w:rFonts w:ascii="仿宋" w:eastAsia="仿宋" w:hAnsi="仿宋" w:hint="eastAsia"/>
          <w:sz w:val="32"/>
          <w:szCs w:val="32"/>
        </w:rPr>
        <w:t>万元以上专用设备</w:t>
      </w:r>
      <w:r>
        <w:rPr>
          <w:rFonts w:ascii="仿宋" w:eastAsia="仿宋" w:hAnsi="仿宋" w:hint="eastAsia"/>
          <w:sz w:val="32"/>
          <w:szCs w:val="32"/>
        </w:rPr>
        <w:t>7</w:t>
      </w:r>
      <w:r>
        <w:rPr>
          <w:rFonts w:ascii="仿宋" w:eastAsia="仿宋" w:hAnsi="仿宋" w:hint="eastAsia"/>
          <w:sz w:val="32"/>
          <w:szCs w:val="32"/>
        </w:rPr>
        <w:t>台（套）。</w:t>
      </w:r>
    </w:p>
    <w:p w:rsidR="00144130" w:rsidRDefault="00C1571D">
      <w:pPr>
        <w:numPr>
          <w:ilvl w:val="0"/>
          <w:numId w:val="4"/>
        </w:num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预算绩效管理情况</w:t>
      </w:r>
    </w:p>
    <w:p w:rsidR="00144130" w:rsidRDefault="00C1571D">
      <w:pPr>
        <w:pStyle w:val="a0"/>
        <w:spacing w:before="93"/>
      </w:pPr>
      <w:r>
        <w:rPr>
          <w:rFonts w:hint="eastAsia"/>
        </w:rPr>
        <w:t xml:space="preserve">     1</w:t>
      </w:r>
      <w:r>
        <w:rPr>
          <w:rFonts w:ascii="仿宋" w:eastAsia="仿宋" w:hAnsi="仿宋" w:hint="eastAsia"/>
          <w:kern w:val="2"/>
          <w:sz w:val="32"/>
          <w:szCs w:val="32"/>
        </w:rPr>
        <w:t>.</w:t>
      </w:r>
      <w:r>
        <w:rPr>
          <w:rFonts w:ascii="仿宋" w:eastAsia="仿宋" w:hAnsi="仿宋" w:hint="eastAsia"/>
          <w:kern w:val="2"/>
          <w:sz w:val="32"/>
          <w:szCs w:val="32"/>
        </w:rPr>
        <w:t>预算绩效管理工作开展情况</w:t>
      </w:r>
    </w:p>
    <w:p w:rsidR="00144130" w:rsidRDefault="00C1571D">
      <w:pPr>
        <w:ind w:firstLineChars="200" w:firstLine="640"/>
        <w:rPr>
          <w:rFonts w:ascii="仿宋" w:eastAsia="仿宋" w:hAnsi="仿宋"/>
          <w:sz w:val="32"/>
          <w:szCs w:val="32"/>
        </w:rPr>
      </w:pPr>
      <w:r>
        <w:rPr>
          <w:rFonts w:ascii="仿宋" w:eastAsia="仿宋" w:hAnsi="仿宋" w:hint="eastAsia"/>
          <w:sz w:val="32"/>
          <w:szCs w:val="32"/>
        </w:rPr>
        <w:t>根据预算绩效管理要求，本单位在</w:t>
      </w:r>
      <w:r>
        <w:rPr>
          <w:rFonts w:ascii="仿宋" w:eastAsia="仿宋" w:hAnsi="仿宋" w:hint="eastAsia"/>
          <w:sz w:val="32"/>
          <w:szCs w:val="32"/>
        </w:rPr>
        <w:t>2021</w:t>
      </w:r>
      <w:r>
        <w:rPr>
          <w:rFonts w:ascii="仿宋" w:eastAsia="仿宋" w:hAnsi="仿宋" w:hint="eastAsia"/>
          <w:sz w:val="32"/>
          <w:szCs w:val="32"/>
        </w:rPr>
        <w:t>年度预算编制阶段，组织对</w:t>
      </w:r>
      <w:r>
        <w:rPr>
          <w:rFonts w:ascii="仿宋" w:eastAsia="仿宋" w:hAnsi="仿宋" w:hint="eastAsia"/>
          <w:sz w:val="32"/>
          <w:szCs w:val="32"/>
        </w:rPr>
        <w:t>2020</w:t>
      </w:r>
      <w:r>
        <w:rPr>
          <w:rFonts w:ascii="仿宋" w:eastAsia="仿宋" w:hAnsi="仿宋" w:hint="eastAsia"/>
          <w:sz w:val="32"/>
          <w:szCs w:val="32"/>
        </w:rPr>
        <w:t>年度地勘单位能力提升装备购置项目和大型复杂红层岩质滑坡灾变机理及防控技术研究（省重）</w:t>
      </w:r>
      <w:r>
        <w:rPr>
          <w:rFonts w:ascii="仿宋" w:eastAsia="仿宋" w:hAnsi="仿宋" w:hint="eastAsia"/>
          <w:sz w:val="32"/>
          <w:szCs w:val="32"/>
        </w:rPr>
        <w:t>2</w:t>
      </w:r>
      <w:r>
        <w:rPr>
          <w:rFonts w:ascii="仿宋" w:eastAsia="仿宋" w:hAnsi="仿宋" w:hint="eastAsia"/>
          <w:sz w:val="32"/>
          <w:szCs w:val="32"/>
        </w:rPr>
        <w:t>个项目开展了预算事前绩效评估，编制了绩效目标，预算执行过程中，选取</w:t>
      </w:r>
      <w:r>
        <w:rPr>
          <w:rFonts w:ascii="仿宋" w:eastAsia="仿宋" w:hAnsi="仿宋" w:hint="eastAsia"/>
          <w:sz w:val="32"/>
          <w:szCs w:val="32"/>
        </w:rPr>
        <w:t>2020</w:t>
      </w:r>
      <w:r>
        <w:rPr>
          <w:rFonts w:ascii="仿宋" w:eastAsia="仿宋" w:hAnsi="仿宋" w:hint="eastAsia"/>
          <w:sz w:val="32"/>
          <w:szCs w:val="32"/>
        </w:rPr>
        <w:t>年度地勘单位能力提升装备购置项目开展绩效监控，年终执行完毕后，对该项目开展了绩效目标完成情况自评。（详见第四部分</w:t>
      </w:r>
      <w:r>
        <w:rPr>
          <w:rFonts w:ascii="仿宋" w:eastAsia="仿宋" w:hAnsi="仿宋" w:hint="eastAsia"/>
          <w:sz w:val="32"/>
          <w:szCs w:val="32"/>
        </w:rPr>
        <w:t xml:space="preserve"> </w:t>
      </w:r>
      <w:r>
        <w:rPr>
          <w:rFonts w:ascii="仿宋" w:eastAsia="仿宋" w:hAnsi="仿宋" w:hint="eastAsia"/>
          <w:sz w:val="32"/>
          <w:szCs w:val="32"/>
        </w:rPr>
        <w:t>附件）。</w:t>
      </w:r>
    </w:p>
    <w:p w:rsidR="00144130" w:rsidRDefault="00C1571D">
      <w:pPr>
        <w:pStyle w:val="a0"/>
        <w:spacing w:before="93"/>
        <w:ind w:firstLine="600"/>
        <w:rPr>
          <w:rFonts w:hAnsi="仿宋_GB2312" w:cs="仿宋_GB2312"/>
          <w:sz w:val="32"/>
          <w:szCs w:val="32"/>
        </w:rPr>
      </w:pPr>
      <w:r>
        <w:rPr>
          <w:rFonts w:hAnsi="仿宋_GB2312" w:cs="仿宋_GB2312" w:hint="eastAsia"/>
          <w:sz w:val="32"/>
          <w:szCs w:val="32"/>
        </w:rPr>
        <w:t xml:space="preserve">  </w:t>
      </w:r>
    </w:p>
    <w:p w:rsidR="00144130" w:rsidRDefault="00144130">
      <w:pPr>
        <w:rPr>
          <w:rFonts w:hAnsi="仿宋_GB2312" w:cs="仿宋_GB2312"/>
          <w:sz w:val="32"/>
          <w:szCs w:val="32"/>
        </w:rPr>
      </w:pPr>
    </w:p>
    <w:p w:rsidR="00144130" w:rsidRDefault="00144130">
      <w:pPr>
        <w:pStyle w:val="a0"/>
        <w:spacing w:before="93"/>
        <w:rPr>
          <w:rFonts w:hAnsi="仿宋_GB2312" w:cs="仿宋_GB2312"/>
          <w:sz w:val="32"/>
          <w:szCs w:val="32"/>
        </w:rPr>
      </w:pPr>
    </w:p>
    <w:p w:rsidR="00144130" w:rsidRDefault="00144130">
      <w:pPr>
        <w:rPr>
          <w:rFonts w:hAnsi="仿宋_GB2312" w:cs="仿宋_GB2312"/>
          <w:sz w:val="32"/>
          <w:szCs w:val="32"/>
        </w:rPr>
      </w:pPr>
    </w:p>
    <w:p w:rsidR="00144130" w:rsidRDefault="00144130">
      <w:pPr>
        <w:pStyle w:val="a0"/>
        <w:spacing w:before="93"/>
        <w:rPr>
          <w:rFonts w:hAnsi="仿宋_GB2312" w:cs="仿宋_GB2312"/>
          <w:sz w:val="32"/>
          <w:szCs w:val="32"/>
        </w:rPr>
      </w:pPr>
    </w:p>
    <w:p w:rsidR="00144130" w:rsidRDefault="00144130">
      <w:pPr>
        <w:rPr>
          <w:rFonts w:hAnsi="仿宋_GB2312" w:cs="仿宋_GB2312"/>
          <w:sz w:val="32"/>
          <w:szCs w:val="32"/>
        </w:rPr>
      </w:pPr>
    </w:p>
    <w:p w:rsidR="00144130" w:rsidRDefault="00144130">
      <w:pPr>
        <w:pStyle w:val="a0"/>
        <w:spacing w:before="93"/>
      </w:pPr>
    </w:p>
    <w:p w:rsidR="00144130" w:rsidRDefault="00C1571D">
      <w:pPr>
        <w:numPr>
          <w:ilvl w:val="0"/>
          <w:numId w:val="5"/>
        </w:numPr>
        <w:spacing w:line="600" w:lineRule="exact"/>
        <w:ind w:firstLineChars="150" w:firstLine="660"/>
        <w:jc w:val="center"/>
        <w:outlineLvl w:val="0"/>
        <w:rPr>
          <w:rStyle w:val="10"/>
          <w:rFonts w:ascii="黑体" w:eastAsia="黑体" w:hAnsi="黑体"/>
          <w:b w:val="0"/>
        </w:rPr>
      </w:pPr>
      <w:bookmarkStart w:id="50" w:name="_Toc15377225"/>
      <w:bookmarkStart w:id="51" w:name="_Toc15396613"/>
      <w:r>
        <w:rPr>
          <w:rFonts w:ascii="黑体" w:eastAsia="黑体" w:hAnsi="黑体" w:hint="eastAsia"/>
          <w:sz w:val="44"/>
          <w:szCs w:val="44"/>
        </w:rPr>
        <w:lastRenderedPageBreak/>
        <w:t>名</w:t>
      </w:r>
      <w:r>
        <w:rPr>
          <w:rStyle w:val="10"/>
          <w:rFonts w:ascii="黑体" w:eastAsia="黑体" w:hAnsi="黑体" w:hint="eastAsia"/>
          <w:b w:val="0"/>
        </w:rPr>
        <w:t>词解释</w:t>
      </w:r>
      <w:bookmarkEnd w:id="50"/>
      <w:bookmarkEnd w:id="51"/>
    </w:p>
    <w:p w:rsidR="00144130" w:rsidRDefault="00144130">
      <w:pPr>
        <w:spacing w:line="600" w:lineRule="exact"/>
        <w:jc w:val="left"/>
        <w:rPr>
          <w:rFonts w:ascii="宋体"/>
          <w:b/>
          <w:sz w:val="44"/>
          <w:szCs w:val="44"/>
        </w:rPr>
      </w:pP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w:t>
      </w:r>
      <w:r>
        <w:rPr>
          <w:rFonts w:ascii="仿宋_GB2312" w:eastAsia="仿宋_GB2312" w:hint="eastAsia"/>
          <w:color w:val="auto"/>
          <w:sz w:val="32"/>
          <w:szCs w:val="32"/>
        </w:rPr>
        <w:t>财政拨款收入：指单位从同级财政部门取得的财政预算资金。</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hint="eastAsia"/>
          <w:color w:val="auto"/>
          <w:sz w:val="32"/>
          <w:szCs w:val="32"/>
        </w:rPr>
        <w:t>经营收入：指事业单位在专业业务活动及其辅助活动之外开展非独立核算经营活动取得的收入。</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hint="eastAsia"/>
          <w:color w:val="auto"/>
          <w:sz w:val="32"/>
          <w:szCs w:val="32"/>
        </w:rPr>
        <w:t>其他收入：指单位取得的除上述收入以外的各项收入。</w:t>
      </w:r>
      <w:r>
        <w:rPr>
          <w:rFonts w:ascii="仿宋_GB2312" w:eastAsia="仿宋_GB2312" w:hint="eastAsia"/>
          <w:color w:val="auto"/>
          <w:sz w:val="32"/>
          <w:szCs w:val="32"/>
        </w:rPr>
        <w:t xml:space="preserve"> </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hint="eastAsia"/>
          <w:color w:val="auto"/>
          <w:sz w:val="32"/>
          <w:szCs w:val="32"/>
        </w:rPr>
        <w:t xml:space="preserve"> </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w:t>
      </w:r>
      <w:r>
        <w:rPr>
          <w:rFonts w:ascii="仿宋_GB2312" w:eastAsia="仿宋_GB2312" w:hint="eastAsia"/>
          <w:color w:val="auto"/>
          <w:sz w:val="32"/>
          <w:szCs w:val="32"/>
        </w:rPr>
        <w:t>科学技术（类）科技重大项目（款）重点研发计划（项）：指用于重点研发计划的有关经费支出。</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w:t>
      </w:r>
      <w:r>
        <w:rPr>
          <w:rFonts w:ascii="仿宋_GB2312" w:eastAsia="仿宋_GB2312" w:hint="eastAsia"/>
          <w:color w:val="auto"/>
          <w:sz w:val="32"/>
          <w:szCs w:val="32"/>
        </w:rPr>
        <w:t>.</w:t>
      </w:r>
      <w:r>
        <w:rPr>
          <w:rFonts w:ascii="仿宋_GB2312" w:eastAsia="仿宋_GB2312" w:hint="eastAsia"/>
          <w:color w:val="auto"/>
          <w:sz w:val="32"/>
          <w:szCs w:val="32"/>
        </w:rPr>
        <w:t>社会保障和就业（类）行政事业单位养老支出（款）事业单位离退休（项）：指反映事业单位开支的离退休经费。</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w:t>
      </w:r>
      <w:r>
        <w:rPr>
          <w:rFonts w:ascii="仿宋_GB2312" w:eastAsia="仿宋_GB2312" w:hint="eastAsia"/>
          <w:color w:val="auto"/>
          <w:sz w:val="32"/>
          <w:szCs w:val="32"/>
        </w:rPr>
        <w:t>.</w:t>
      </w:r>
      <w:r>
        <w:rPr>
          <w:rFonts w:ascii="仿宋_GB2312" w:eastAsia="仿宋_GB2312" w:hint="eastAsia"/>
          <w:color w:val="auto"/>
          <w:sz w:val="32"/>
          <w:szCs w:val="32"/>
        </w:rPr>
        <w:t>社会保障和</w:t>
      </w:r>
      <w:r>
        <w:rPr>
          <w:rFonts w:ascii="仿宋_GB2312" w:eastAsia="仿宋_GB2312" w:hint="eastAsia"/>
          <w:color w:val="auto"/>
          <w:sz w:val="32"/>
          <w:szCs w:val="32"/>
        </w:rPr>
        <w:t>就业（类）行政事业单位养老支出（款）机关事业单位基本养老保险缴费（项）：指反映机关事业单位实施养老保险制度由单位缴纳的基本养老保险费支出。</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8.</w:t>
      </w:r>
      <w:r>
        <w:rPr>
          <w:rFonts w:ascii="仿宋_GB2312" w:eastAsia="仿宋_GB2312" w:hint="eastAsia"/>
          <w:color w:val="auto"/>
          <w:sz w:val="32"/>
          <w:szCs w:val="32"/>
        </w:rPr>
        <w:t>社会保障和就业（类）行政事业单位养老支出（款）机关事业单位职业年金缴费（项）</w:t>
      </w:r>
      <w:r>
        <w:rPr>
          <w:rFonts w:ascii="仿宋_GB2312" w:eastAsia="仿宋_GB2312" w:hint="eastAsia"/>
          <w:color w:val="auto"/>
          <w:sz w:val="32"/>
          <w:szCs w:val="32"/>
        </w:rPr>
        <w:t>:</w:t>
      </w:r>
      <w:r>
        <w:rPr>
          <w:rFonts w:ascii="仿宋_GB2312" w:eastAsia="仿宋_GB2312" w:hint="eastAsia"/>
          <w:color w:val="auto"/>
          <w:sz w:val="32"/>
          <w:szCs w:val="32"/>
        </w:rPr>
        <w:t>指反映机关事业单位实施养老保险制度由单位实际缴纳的职业年金支出。</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9.</w:t>
      </w:r>
      <w:r>
        <w:rPr>
          <w:rFonts w:ascii="仿宋_GB2312" w:eastAsia="仿宋_GB2312" w:hint="eastAsia"/>
          <w:color w:val="auto"/>
          <w:sz w:val="32"/>
          <w:szCs w:val="32"/>
        </w:rPr>
        <w:t>社会保障和就业（类）其他社会保障和就业（款）其他社会保障和就业（项）</w:t>
      </w:r>
      <w:r>
        <w:rPr>
          <w:rFonts w:ascii="仿宋_GB2312" w:eastAsia="仿宋_GB2312" w:hint="eastAsia"/>
          <w:color w:val="auto"/>
          <w:sz w:val="32"/>
          <w:szCs w:val="32"/>
        </w:rPr>
        <w:t>:</w:t>
      </w:r>
      <w:r>
        <w:rPr>
          <w:rFonts w:ascii="仿宋_GB2312" w:eastAsia="仿宋_GB2312" w:hint="eastAsia"/>
          <w:color w:val="auto"/>
          <w:sz w:val="32"/>
          <w:szCs w:val="32"/>
        </w:rPr>
        <w:t>指反映除上述项目以外其他用于社会保障和就业方面的支出。</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w:t>
      </w:r>
      <w:r>
        <w:rPr>
          <w:rFonts w:ascii="仿宋_GB2312" w:eastAsia="仿宋_GB2312" w:hint="eastAsia"/>
          <w:color w:val="auto"/>
          <w:sz w:val="32"/>
          <w:szCs w:val="32"/>
        </w:rPr>
        <w:t>卫生健康（类）行政事业单位医疗（款）事业单位医疗（项）：指反映财政部门安排的事业单位基本</w:t>
      </w:r>
      <w:r>
        <w:rPr>
          <w:rFonts w:ascii="仿宋_GB2312" w:eastAsia="仿宋_GB2312" w:hint="eastAsia"/>
          <w:color w:val="auto"/>
          <w:sz w:val="32"/>
          <w:szCs w:val="32"/>
        </w:rPr>
        <w:t>医疗保险</w:t>
      </w:r>
      <w:r>
        <w:rPr>
          <w:rFonts w:ascii="仿宋_GB2312" w:eastAsia="仿宋_GB2312" w:hint="eastAsia"/>
          <w:color w:val="auto"/>
          <w:sz w:val="32"/>
          <w:szCs w:val="32"/>
        </w:rPr>
        <w:lastRenderedPageBreak/>
        <w:t>缴费经费，未参加医疗保险的事业单位的公费医疗经费，按国家规定享受离休人员待遇的医疗经费。</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11.</w:t>
      </w:r>
      <w:r>
        <w:rPr>
          <w:rFonts w:ascii="仿宋_GB2312" w:eastAsia="仿宋_GB2312" w:hint="eastAsia"/>
          <w:color w:val="auto"/>
          <w:sz w:val="32"/>
          <w:szCs w:val="32"/>
        </w:rPr>
        <w:t>资源勘探工业信息等（类）资源勘探开发（款）其他资源勘探业（项）：指反映除上述项目以外其他用于资源</w:t>
      </w:r>
      <w:proofErr w:type="gramStart"/>
      <w:r>
        <w:rPr>
          <w:rFonts w:ascii="仿宋_GB2312" w:eastAsia="仿宋_GB2312" w:hint="eastAsia"/>
          <w:color w:val="auto"/>
          <w:sz w:val="32"/>
          <w:szCs w:val="32"/>
        </w:rPr>
        <w:t>勘探业</w:t>
      </w:r>
      <w:proofErr w:type="gramEnd"/>
      <w:r>
        <w:rPr>
          <w:rFonts w:ascii="仿宋_GB2312" w:eastAsia="仿宋_GB2312" w:hint="eastAsia"/>
          <w:color w:val="auto"/>
          <w:sz w:val="32"/>
          <w:szCs w:val="32"/>
        </w:rPr>
        <w:t>方面的支出。</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12.</w:t>
      </w:r>
      <w:r>
        <w:rPr>
          <w:rFonts w:ascii="仿宋_GB2312" w:eastAsia="仿宋_GB2312" w:hint="eastAsia"/>
          <w:color w:val="auto"/>
          <w:sz w:val="32"/>
          <w:szCs w:val="32"/>
        </w:rPr>
        <w:t>住房保障支出（类）住房改革支出（款）住房公积金（项）</w:t>
      </w:r>
      <w:r>
        <w:rPr>
          <w:rFonts w:ascii="仿宋_GB2312" w:eastAsia="仿宋_GB2312" w:hint="eastAsia"/>
          <w:color w:val="auto"/>
          <w:sz w:val="32"/>
          <w:szCs w:val="32"/>
        </w:rPr>
        <w:t>:</w:t>
      </w:r>
      <w:r>
        <w:rPr>
          <w:rFonts w:ascii="仿宋_GB2312" w:eastAsia="仿宋_GB2312" w:hint="eastAsia"/>
          <w:color w:val="auto"/>
          <w:sz w:val="32"/>
          <w:szCs w:val="32"/>
        </w:rPr>
        <w:t>指反映行政事业单位按人力资源和社会保障部、财政部规定的基本工资和津贴补贴以及规定比例为职工缴纳的住房公积金；</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13.</w:t>
      </w:r>
      <w:r>
        <w:rPr>
          <w:rFonts w:ascii="仿宋_GB2312" w:eastAsia="仿宋_GB2312" w:hint="eastAsia"/>
          <w:color w:val="auto"/>
          <w:sz w:val="32"/>
          <w:szCs w:val="32"/>
        </w:rPr>
        <w:t>住房保障支出（类）住房改革支出（款）购房补贴（项）：指反映按房改政策规定，行政事业单位向符合条件职工（含离退休人员）军队（含武警）向转役复员离退休人员发放的用于购买住房的补贴。</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14.</w:t>
      </w:r>
      <w:r>
        <w:rPr>
          <w:rFonts w:ascii="仿宋_GB2312" w:eastAsia="仿宋_GB2312" w:hint="eastAsia"/>
          <w:color w:val="auto"/>
          <w:sz w:val="32"/>
          <w:szCs w:val="32"/>
        </w:rPr>
        <w:t>基本支出：指为保障机构正常运转、完成日常工作任务而发生的人员支出和公用支出。</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w:t>
      </w:r>
      <w:r>
        <w:rPr>
          <w:rFonts w:ascii="仿宋_GB2312" w:eastAsia="仿宋_GB2312" w:hint="eastAsia"/>
          <w:color w:val="auto"/>
          <w:sz w:val="32"/>
          <w:szCs w:val="32"/>
        </w:rPr>
        <w:t>项目支出：指在基本支出之外为完成特定行政任务和事业发展目标所发生的支出。</w:t>
      </w:r>
      <w:r>
        <w:rPr>
          <w:rFonts w:ascii="仿宋_GB2312" w:eastAsia="仿宋_GB2312" w:hint="eastAsia"/>
          <w:color w:val="auto"/>
          <w:sz w:val="32"/>
          <w:szCs w:val="32"/>
        </w:rPr>
        <w:t xml:space="preserve"> </w:t>
      </w:r>
    </w:p>
    <w:p w:rsidR="00144130" w:rsidRDefault="00C1571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16.</w:t>
      </w:r>
      <w:r>
        <w:rPr>
          <w:rFonts w:ascii="仿宋_GB2312" w:eastAsia="仿宋_GB2312" w:hint="eastAsia"/>
          <w:color w:val="auto"/>
          <w:sz w:val="32"/>
          <w:szCs w:val="32"/>
        </w:rPr>
        <w:t>经营支出：指事业单位在专业业务活动及其辅助活动之外开展非独立核算经营活动发生的支出。</w:t>
      </w:r>
    </w:p>
    <w:p w:rsidR="00144130" w:rsidRDefault="00144130">
      <w:pPr>
        <w:pStyle w:val="Default"/>
        <w:spacing w:line="560" w:lineRule="exact"/>
        <w:ind w:firstLineChars="200" w:firstLine="640"/>
        <w:rPr>
          <w:rFonts w:ascii="仿宋_GB2312" w:eastAsia="仿宋_GB2312" w:cs="黑体"/>
          <w:color w:val="auto"/>
          <w:sz w:val="32"/>
          <w:szCs w:val="32"/>
        </w:rPr>
      </w:pPr>
    </w:p>
    <w:p w:rsidR="00144130" w:rsidRDefault="00C1571D">
      <w:pPr>
        <w:spacing w:line="600" w:lineRule="exact"/>
        <w:jc w:val="center"/>
        <w:outlineLvl w:val="0"/>
        <w:rPr>
          <w:rStyle w:val="10"/>
          <w:rFonts w:ascii="黑体" w:eastAsia="黑体" w:hAnsi="黑体"/>
          <w:b w:val="0"/>
        </w:rPr>
      </w:pPr>
      <w:bookmarkStart w:id="52" w:name="_Toc15377226"/>
      <w:r>
        <w:rPr>
          <w:rFonts w:ascii="宋体"/>
          <w:b/>
          <w:sz w:val="44"/>
          <w:szCs w:val="44"/>
        </w:rPr>
        <w:br w:type="page"/>
      </w:r>
      <w:bookmarkStart w:id="53" w:name="_Toc15396614"/>
      <w:r>
        <w:rPr>
          <w:rFonts w:ascii="黑体" w:eastAsia="黑体" w:hAnsi="黑体" w:hint="eastAsia"/>
          <w:sz w:val="44"/>
          <w:szCs w:val="44"/>
        </w:rPr>
        <w:lastRenderedPageBreak/>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53"/>
    </w:p>
    <w:p w:rsidR="00144130" w:rsidRDefault="00C1571D">
      <w:pPr>
        <w:pStyle w:val="af"/>
        <w:spacing w:line="580" w:lineRule="exact"/>
        <w:ind w:firstLine="883"/>
        <w:jc w:val="center"/>
        <w:rPr>
          <w:rFonts w:ascii="方正小标宋简体" w:eastAsia="方正小标宋简体" w:hAnsi="宋体"/>
          <w:sz w:val="44"/>
          <w:szCs w:val="44"/>
        </w:rPr>
      </w:pPr>
      <w:r>
        <w:rPr>
          <w:rFonts w:ascii="方正小标宋简体" w:eastAsia="方正小标宋简体" w:hAnsi="宋体" w:hint="eastAsia"/>
          <w:sz w:val="44"/>
          <w:szCs w:val="44"/>
        </w:rPr>
        <w:t>2020</w:t>
      </w:r>
      <w:r>
        <w:rPr>
          <w:rFonts w:ascii="方正小标宋简体" w:eastAsia="方正小标宋简体" w:hAnsi="宋体" w:hint="eastAsia"/>
          <w:sz w:val="44"/>
          <w:szCs w:val="44"/>
        </w:rPr>
        <w:t>年度地勘单位能力提升装备购置项目绩效自评</w:t>
      </w:r>
      <w:r>
        <w:rPr>
          <w:rFonts w:ascii="方正小标宋简体" w:eastAsia="方正小标宋简体" w:hAnsi="宋体" w:hint="eastAsia"/>
          <w:sz w:val="44"/>
          <w:szCs w:val="44"/>
        </w:rPr>
        <w:t>表</w:t>
      </w:r>
    </w:p>
    <w:p w:rsidR="00144130" w:rsidRDefault="00C1571D">
      <w:pPr>
        <w:pStyle w:val="af"/>
        <w:spacing w:line="580" w:lineRule="exact"/>
        <w:ind w:firstLine="883"/>
        <w:jc w:val="center"/>
        <w:rPr>
          <w:rFonts w:hint="eastAsia"/>
        </w:rPr>
      </w:pPr>
      <w:r>
        <w:rPr>
          <w:rFonts w:ascii="仿宋_GB2312" w:eastAsia="仿宋_GB2312" w:hAnsi="宋体" w:hint="eastAsia"/>
          <w:color w:val="auto"/>
          <w:kern w:val="2"/>
          <w:sz w:val="32"/>
          <w:szCs w:val="32"/>
        </w:rPr>
        <w:t>（项目单位自评）</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698"/>
        <w:gridCol w:w="1020"/>
        <w:gridCol w:w="2035"/>
        <w:gridCol w:w="1189"/>
        <w:gridCol w:w="1224"/>
        <w:gridCol w:w="2409"/>
        <w:gridCol w:w="236"/>
      </w:tblGrid>
      <w:tr w:rsidR="00144130">
        <w:trPr>
          <w:trHeight w:val="675"/>
        </w:trPr>
        <w:tc>
          <w:tcPr>
            <w:tcW w:w="9577" w:type="dxa"/>
            <w:gridSpan w:val="6"/>
            <w:tcBorders>
              <w:top w:val="nil"/>
              <w:left w:val="nil"/>
              <w:bottom w:val="nil"/>
              <w:right w:val="nil"/>
            </w:tcBorders>
            <w:shd w:val="clear" w:color="auto" w:fill="auto"/>
            <w:vAlign w:val="center"/>
          </w:tcPr>
          <w:p w:rsidR="00144130" w:rsidRDefault="00C1571D">
            <w:pPr>
              <w:widowControl/>
              <w:textAlignment w:val="center"/>
              <w:rPr>
                <w:rFonts w:ascii="宋体" w:hAnsi="宋体" w:cs="宋体"/>
                <w:b/>
                <w:sz w:val="32"/>
                <w:szCs w:val="32"/>
              </w:rPr>
            </w:pPr>
            <w:bookmarkStart w:id="54" w:name="_Toc15396618"/>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100</w:t>
            </w:r>
            <w:r>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shd w:val="clear" w:color="auto" w:fill="auto"/>
            <w:vAlign w:val="center"/>
          </w:tcPr>
          <w:p w:rsidR="00144130" w:rsidRDefault="00144130">
            <w:pPr>
              <w:widowControl/>
              <w:jc w:val="center"/>
              <w:textAlignment w:val="center"/>
              <w:rPr>
                <w:rFonts w:ascii="宋体" w:hAnsi="宋体" w:cs="宋体"/>
                <w:b/>
                <w:kern w:val="0"/>
                <w:sz w:val="32"/>
                <w:szCs w:val="32"/>
                <w:lang w:bidi="ar"/>
              </w:rPr>
            </w:pPr>
          </w:p>
        </w:tc>
      </w:tr>
      <w:tr w:rsidR="00144130">
        <w:trPr>
          <w:gridAfter w:val="1"/>
          <w:wAfter w:w="234" w:type="dxa"/>
          <w:trHeight w:val="254"/>
        </w:trPr>
        <w:tc>
          <w:tcPr>
            <w:tcW w:w="27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宋体" w:hAnsi="宋体" w:cs="宋体"/>
                <w:sz w:val="24"/>
              </w:rPr>
            </w:pPr>
            <w:r>
              <w:rPr>
                <w:rFonts w:ascii="宋体" w:hAnsi="宋体" w:cs="宋体" w:hint="eastAsia"/>
                <w:kern w:val="0"/>
                <w:sz w:val="24"/>
                <w:lang w:bidi="ar"/>
              </w:rPr>
              <w:t>主管部门及代码</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textAlignment w:val="center"/>
              <w:rPr>
                <w:rFonts w:ascii="宋体" w:hAnsi="宋体" w:cs="宋体"/>
                <w:sz w:val="24"/>
              </w:rPr>
            </w:pPr>
            <w:r>
              <w:rPr>
                <w:rFonts w:ascii="宋体" w:hAnsi="宋体" w:cs="宋体" w:hint="eastAsia"/>
                <w:sz w:val="24"/>
              </w:rPr>
              <w:t>四川省地质矿产勘查开发局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宋体" w:hAnsi="宋体" w:cs="宋体"/>
                <w:sz w:val="24"/>
              </w:rPr>
            </w:pPr>
            <w:r>
              <w:rPr>
                <w:rFonts w:ascii="宋体" w:hAnsi="宋体" w:cs="宋体" w:hint="eastAsia"/>
                <w:sz w:val="24"/>
              </w:rPr>
              <w:t>四川省地质矿产勘查开发局成都水文地质工程地质队</w:t>
            </w:r>
          </w:p>
        </w:tc>
      </w:tr>
      <w:tr w:rsidR="00144130">
        <w:trPr>
          <w:gridAfter w:val="1"/>
          <w:wAfter w:w="234" w:type="dxa"/>
          <w:trHeight w:val="341"/>
        </w:trPr>
        <w:tc>
          <w:tcPr>
            <w:tcW w:w="27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项目预算</w:t>
            </w:r>
          </w:p>
          <w:p w:rsidR="00144130" w:rsidRDefault="00C1571D">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执行情况</w:t>
            </w:r>
          </w:p>
          <w:p w:rsidR="00144130" w:rsidRDefault="00C1571D">
            <w:pPr>
              <w:widowControl/>
              <w:spacing w:line="320" w:lineRule="exact"/>
              <w:jc w:val="center"/>
              <w:textAlignment w:val="center"/>
              <w:rPr>
                <w:rFonts w:ascii="宋体" w:hAnsi="宋体" w:cs="宋体"/>
                <w:sz w:val="24"/>
              </w:rPr>
            </w:pPr>
            <w:r>
              <w:rPr>
                <w:rFonts w:ascii="宋体" w:hAnsi="宋体" w:cs="宋体" w:hint="eastAsia"/>
                <w:kern w:val="0"/>
                <w:sz w:val="24"/>
                <w:lang w:bidi="ar"/>
              </w:rPr>
              <w:t>（万元）</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w:t>
            </w:r>
            <w:r>
              <w:rPr>
                <w:rFonts w:ascii="宋体" w:hAnsi="宋体" w:cs="宋体" w:hint="eastAsia"/>
                <w:kern w:val="0"/>
                <w:sz w:val="24"/>
                <w:lang w:bidi="ar"/>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left"/>
              <w:textAlignment w:val="center"/>
              <w:rPr>
                <w:rFonts w:ascii="宋体" w:hAnsi="宋体" w:cs="宋体"/>
                <w:sz w:val="24"/>
              </w:rPr>
            </w:pPr>
            <w:r>
              <w:rPr>
                <w:rFonts w:ascii="宋体" w:hAnsi="宋体" w:cs="宋体" w:hint="eastAsia"/>
                <w:sz w:val="24"/>
              </w:rPr>
              <w:t>2300.00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w:t>
            </w:r>
            <w:r>
              <w:rPr>
                <w:rFonts w:ascii="宋体" w:hAnsi="宋体" w:cs="宋体" w:hint="eastAsia"/>
                <w:kern w:val="0"/>
                <w:sz w:val="24"/>
                <w:lang w:bidi="ar"/>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宋体" w:hAnsi="宋体" w:cs="宋体"/>
                <w:sz w:val="24"/>
              </w:rPr>
            </w:pPr>
            <w:r>
              <w:rPr>
                <w:rFonts w:ascii="宋体" w:hAnsi="宋体" w:cs="宋体" w:hint="eastAsia"/>
                <w:sz w:val="24"/>
              </w:rPr>
              <w:t>2300.00</w:t>
            </w:r>
          </w:p>
        </w:tc>
      </w:tr>
      <w:tr w:rsidR="00144130">
        <w:trPr>
          <w:gridAfter w:val="1"/>
          <w:wAfter w:w="234" w:type="dxa"/>
          <w:trHeight w:val="555"/>
        </w:trPr>
        <w:tc>
          <w:tcPr>
            <w:tcW w:w="27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144130">
            <w:pPr>
              <w:spacing w:line="320" w:lineRule="exact"/>
              <w:jc w:val="center"/>
              <w:rPr>
                <w:rFonts w:ascii="宋体" w:hAnsi="宋体" w:cs="宋体"/>
                <w:sz w:val="24"/>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144130" w:rsidRDefault="00C1571D">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left"/>
              <w:textAlignment w:val="center"/>
              <w:rPr>
                <w:rFonts w:ascii="宋体" w:hAnsi="宋体" w:cs="宋体"/>
                <w:sz w:val="24"/>
              </w:rPr>
            </w:pPr>
            <w:r>
              <w:rPr>
                <w:rFonts w:ascii="宋体" w:hAnsi="宋体" w:cs="宋体" w:hint="eastAsia"/>
                <w:sz w:val="24"/>
              </w:rPr>
              <w:t>1000.00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144130" w:rsidRDefault="00C1571D">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宋体" w:hAnsi="宋体" w:cs="宋体"/>
                <w:sz w:val="24"/>
              </w:rPr>
            </w:pPr>
            <w:r>
              <w:rPr>
                <w:rFonts w:ascii="宋体" w:hAnsi="宋体" w:cs="宋体" w:hint="eastAsia"/>
                <w:sz w:val="24"/>
              </w:rPr>
              <w:t>1000.00</w:t>
            </w:r>
          </w:p>
        </w:tc>
      </w:tr>
      <w:tr w:rsidR="00144130">
        <w:trPr>
          <w:gridAfter w:val="1"/>
          <w:wAfter w:w="234" w:type="dxa"/>
          <w:trHeight w:val="341"/>
        </w:trPr>
        <w:tc>
          <w:tcPr>
            <w:tcW w:w="27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144130">
            <w:pPr>
              <w:spacing w:line="320" w:lineRule="exact"/>
              <w:jc w:val="center"/>
              <w:rPr>
                <w:rFonts w:ascii="宋体" w:hAnsi="宋体" w:cs="宋体"/>
                <w:sz w:val="24"/>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left"/>
              <w:textAlignment w:val="center"/>
              <w:rPr>
                <w:rFonts w:ascii="宋体" w:hAnsi="宋体" w:cs="宋体"/>
                <w:sz w:val="24"/>
              </w:rPr>
            </w:pPr>
            <w:r>
              <w:rPr>
                <w:rFonts w:ascii="宋体" w:hAnsi="宋体" w:cs="宋体" w:hint="eastAsia"/>
                <w:sz w:val="24"/>
              </w:rPr>
              <w:t>1300.00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宋体" w:hAnsi="宋体" w:cs="宋体"/>
                <w:sz w:val="24"/>
              </w:rPr>
            </w:pPr>
            <w:r>
              <w:rPr>
                <w:rFonts w:ascii="宋体" w:hAnsi="宋体" w:cs="宋体" w:hint="eastAsia"/>
                <w:sz w:val="24"/>
              </w:rPr>
              <w:t>1300.00</w:t>
            </w:r>
          </w:p>
        </w:tc>
      </w:tr>
      <w:tr w:rsidR="00144130">
        <w:trPr>
          <w:gridAfter w:val="1"/>
          <w:wAfter w:w="234" w:type="dxa"/>
          <w:trHeight w:val="217"/>
        </w:trPr>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rsidR="00144130" w:rsidRDefault="00C1571D">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4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144130">
        <w:trPr>
          <w:gridAfter w:val="1"/>
          <w:wAfter w:w="234" w:type="dxa"/>
          <w:trHeight w:val="797"/>
        </w:trPr>
        <w:tc>
          <w:tcPr>
            <w:tcW w:w="16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144130">
            <w:pPr>
              <w:spacing w:line="320" w:lineRule="exact"/>
              <w:jc w:val="center"/>
              <w:rPr>
                <w:rFonts w:ascii="宋体" w:hAnsi="宋体" w:cs="宋体"/>
                <w:sz w:val="24"/>
              </w:rPr>
            </w:pPr>
          </w:p>
        </w:tc>
        <w:tc>
          <w:tcPr>
            <w:tcW w:w="4244" w:type="dxa"/>
            <w:gridSpan w:val="3"/>
            <w:tcBorders>
              <w:top w:val="single" w:sz="4" w:space="0" w:color="000000"/>
              <w:left w:val="single" w:sz="4" w:space="0" w:color="000000"/>
              <w:bottom w:val="single" w:sz="4" w:space="0" w:color="000000"/>
              <w:right w:val="single" w:sz="4" w:space="0" w:color="000000"/>
            </w:tcBorders>
            <w:shd w:val="clear" w:color="auto" w:fill="auto"/>
          </w:tcPr>
          <w:p w:rsidR="00144130" w:rsidRDefault="00C1571D">
            <w:pPr>
              <w:widowControl/>
              <w:spacing w:line="320" w:lineRule="exact"/>
              <w:jc w:val="left"/>
              <w:textAlignment w:val="top"/>
              <w:rPr>
                <w:rFonts w:ascii="宋体" w:hAnsi="宋体" w:cs="宋体"/>
                <w:sz w:val="24"/>
              </w:rPr>
            </w:pPr>
            <w:r>
              <w:rPr>
                <w:rFonts w:ascii="宋体" w:hAnsi="宋体" w:cs="宋体" w:hint="eastAsia"/>
                <w:sz w:val="24"/>
              </w:rPr>
              <w:t>购置国内技术先进、性价比较高的钻探设备（</w:t>
            </w:r>
            <w:r>
              <w:rPr>
                <w:rFonts w:ascii="宋体" w:hAnsi="宋体" w:cs="宋体" w:hint="eastAsia"/>
                <w:sz w:val="24"/>
              </w:rPr>
              <w:t>ZJ40</w:t>
            </w:r>
            <w:r>
              <w:rPr>
                <w:rFonts w:ascii="宋体" w:hAnsi="宋体" w:cs="宋体" w:hint="eastAsia"/>
                <w:sz w:val="24"/>
              </w:rPr>
              <w:t>及配套设备），进一步拓展地热能产业业务范围，提高地热能产业核心竞争力，提升地勘发展能力。</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144130" w:rsidRDefault="00C1571D">
            <w:pPr>
              <w:widowControl/>
              <w:spacing w:line="320" w:lineRule="exact"/>
              <w:jc w:val="left"/>
              <w:textAlignment w:val="top"/>
              <w:rPr>
                <w:rFonts w:ascii="宋体" w:hAnsi="宋体" w:cs="宋体"/>
                <w:sz w:val="24"/>
              </w:rPr>
            </w:pPr>
            <w:r>
              <w:rPr>
                <w:rFonts w:ascii="宋体" w:hAnsi="宋体" w:cs="宋体" w:hint="eastAsia"/>
                <w:sz w:val="24"/>
              </w:rPr>
              <w:t>2021</w:t>
            </w:r>
            <w:r>
              <w:rPr>
                <w:rFonts w:ascii="宋体" w:hAnsi="宋体" w:cs="宋体" w:hint="eastAsia"/>
                <w:sz w:val="24"/>
              </w:rPr>
              <w:t>年</w:t>
            </w:r>
            <w:r>
              <w:rPr>
                <w:rFonts w:ascii="宋体" w:hAnsi="宋体" w:cs="宋体" w:hint="eastAsia"/>
                <w:sz w:val="24"/>
              </w:rPr>
              <w:t>11</w:t>
            </w:r>
            <w:r>
              <w:rPr>
                <w:rFonts w:ascii="宋体" w:hAnsi="宋体" w:cs="宋体" w:hint="eastAsia"/>
                <w:sz w:val="24"/>
              </w:rPr>
              <w:t>月完成设备交付，并投入到项目使用，当年签订合同金额</w:t>
            </w:r>
            <w:r>
              <w:rPr>
                <w:rFonts w:ascii="宋体" w:hAnsi="宋体" w:cs="宋体" w:hint="eastAsia"/>
                <w:sz w:val="24"/>
              </w:rPr>
              <w:t>4000</w:t>
            </w:r>
            <w:r>
              <w:rPr>
                <w:rFonts w:ascii="宋体" w:hAnsi="宋体" w:cs="宋体" w:hint="eastAsia"/>
                <w:sz w:val="24"/>
              </w:rPr>
              <w:t>万元，后续将承揽</w:t>
            </w:r>
            <w:r>
              <w:rPr>
                <w:rFonts w:ascii="宋体" w:hAnsi="宋体" w:cs="宋体" w:hint="eastAsia"/>
                <w:sz w:val="24"/>
              </w:rPr>
              <w:t>3800</w:t>
            </w:r>
            <w:r>
              <w:rPr>
                <w:rFonts w:ascii="宋体" w:hAnsi="宋体" w:cs="宋体" w:hint="eastAsia"/>
                <w:sz w:val="24"/>
              </w:rPr>
              <w:t>万项目收入，合计</w:t>
            </w:r>
            <w:r>
              <w:rPr>
                <w:rFonts w:ascii="宋体" w:hAnsi="宋体" w:cs="宋体" w:hint="eastAsia"/>
                <w:sz w:val="24"/>
              </w:rPr>
              <w:t>7800</w:t>
            </w:r>
            <w:r>
              <w:rPr>
                <w:rFonts w:ascii="宋体" w:hAnsi="宋体" w:cs="宋体" w:hint="eastAsia"/>
                <w:sz w:val="24"/>
              </w:rPr>
              <w:t>万元，提高了本单位地热开发能力，为四川省“双碳”产业，提供积极支持，获得较好的经济效益、社会效益、环境效益。</w:t>
            </w:r>
          </w:p>
        </w:tc>
      </w:tr>
      <w:tr w:rsidR="00144130">
        <w:trPr>
          <w:gridAfter w:val="1"/>
          <w:wAfter w:w="234" w:type="dxa"/>
          <w:trHeight w:val="693"/>
        </w:trPr>
        <w:tc>
          <w:tcPr>
            <w:tcW w:w="1699" w:type="dxa"/>
            <w:vMerge w:val="restart"/>
            <w:tcBorders>
              <w:top w:val="single" w:sz="4" w:space="0" w:color="000000"/>
              <w:left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年度绩效指标完成情况</w:t>
            </w:r>
          </w:p>
        </w:tc>
        <w:tc>
          <w:tcPr>
            <w:tcW w:w="1020" w:type="dxa"/>
            <w:tcBorders>
              <w:top w:val="single" w:sz="4" w:space="0" w:color="000000"/>
              <w:left w:val="nil"/>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rsidR="00144130" w:rsidRDefault="00C157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rsidR="00144130" w:rsidRDefault="00C157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rsidR="00144130" w:rsidRDefault="00C157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144130">
        <w:trPr>
          <w:gridAfter w:val="1"/>
          <w:wAfter w:w="234" w:type="dxa"/>
          <w:trHeight w:val="415"/>
        </w:trPr>
        <w:tc>
          <w:tcPr>
            <w:tcW w:w="1699" w:type="dxa"/>
            <w:vMerge/>
            <w:tcBorders>
              <w:left w:val="single" w:sz="4" w:space="0" w:color="000000"/>
              <w:right w:val="single" w:sz="4" w:space="0" w:color="000000"/>
            </w:tcBorders>
            <w:shd w:val="clear" w:color="auto" w:fill="auto"/>
            <w:vAlign w:val="center"/>
          </w:tcPr>
          <w:p w:rsidR="00144130" w:rsidRDefault="00144130">
            <w:pPr>
              <w:spacing w:line="320" w:lineRule="exact"/>
              <w:jc w:val="center"/>
              <w:rPr>
                <w:rFonts w:ascii="仿宋_GB2312" w:eastAsia="仿宋_GB2312" w:hAnsi="仿宋_GB2312" w:cs="仿宋_GB2312"/>
                <w:sz w:val="28"/>
                <w:szCs w:val="28"/>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购置专用设备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套</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套</w:t>
            </w:r>
          </w:p>
        </w:tc>
      </w:tr>
      <w:tr w:rsidR="00144130">
        <w:trPr>
          <w:gridAfter w:val="1"/>
          <w:wAfter w:w="234" w:type="dxa"/>
          <w:trHeight w:val="655"/>
        </w:trPr>
        <w:tc>
          <w:tcPr>
            <w:tcW w:w="1699" w:type="dxa"/>
            <w:vMerge/>
            <w:tcBorders>
              <w:left w:val="single" w:sz="4" w:space="0" w:color="000000"/>
              <w:right w:val="single" w:sz="4" w:space="0" w:color="000000"/>
            </w:tcBorders>
            <w:shd w:val="clear" w:color="auto" w:fill="auto"/>
            <w:vAlign w:val="center"/>
          </w:tcPr>
          <w:p w:rsidR="00144130" w:rsidRDefault="00144130">
            <w:pPr>
              <w:spacing w:line="320" w:lineRule="exact"/>
              <w:jc w:val="center"/>
              <w:rPr>
                <w:rFonts w:ascii="仿宋_GB2312" w:eastAsia="仿宋_GB2312" w:hAnsi="仿宋_GB2312" w:cs="仿宋_GB2312"/>
                <w:sz w:val="28"/>
                <w:szCs w:val="2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spacing w:line="320" w:lineRule="exact"/>
              <w:jc w:val="center"/>
              <w:rPr>
                <w:rFonts w:ascii="仿宋_GB2312" w:eastAsia="仿宋_GB2312" w:hAnsi="仿宋_GB2312" w:cs="仿宋_GB2312"/>
                <w:sz w:val="28"/>
                <w:szCs w:val="28"/>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设备验收合格率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144130">
        <w:trPr>
          <w:gridAfter w:val="1"/>
          <w:wAfter w:w="234" w:type="dxa"/>
          <w:trHeight w:val="415"/>
        </w:trPr>
        <w:tc>
          <w:tcPr>
            <w:tcW w:w="1699" w:type="dxa"/>
            <w:vMerge/>
            <w:tcBorders>
              <w:left w:val="single" w:sz="4" w:space="0" w:color="000000"/>
              <w:right w:val="single" w:sz="4" w:space="0" w:color="000000"/>
            </w:tcBorders>
            <w:shd w:val="clear" w:color="auto" w:fill="auto"/>
            <w:vAlign w:val="center"/>
          </w:tcPr>
          <w:p w:rsidR="00144130" w:rsidRDefault="00144130">
            <w:pPr>
              <w:spacing w:line="320" w:lineRule="exact"/>
              <w:jc w:val="center"/>
              <w:rPr>
                <w:rFonts w:ascii="仿宋_GB2312" w:eastAsia="仿宋_GB2312" w:hAnsi="仿宋_GB2312" w:cs="仿宋_GB2312"/>
                <w:sz w:val="28"/>
                <w:szCs w:val="2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spacing w:line="320" w:lineRule="exact"/>
              <w:jc w:val="center"/>
              <w:rPr>
                <w:rFonts w:ascii="仿宋_GB2312" w:eastAsia="仿宋_GB2312" w:hAnsi="仿宋_GB2312" w:cs="仿宋_GB2312"/>
                <w:sz w:val="28"/>
                <w:szCs w:val="28"/>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设备交付使用时间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p>
        </w:tc>
      </w:tr>
      <w:tr w:rsidR="00144130">
        <w:trPr>
          <w:gridAfter w:val="1"/>
          <w:wAfter w:w="234" w:type="dxa"/>
          <w:trHeight w:val="480"/>
        </w:trPr>
        <w:tc>
          <w:tcPr>
            <w:tcW w:w="1699" w:type="dxa"/>
            <w:vMerge/>
            <w:tcBorders>
              <w:left w:val="single" w:sz="4" w:space="0" w:color="000000"/>
              <w:right w:val="single" w:sz="4" w:space="0" w:color="000000"/>
            </w:tcBorders>
            <w:shd w:val="clear" w:color="auto" w:fill="auto"/>
            <w:vAlign w:val="center"/>
          </w:tcPr>
          <w:p w:rsidR="00144130" w:rsidRDefault="00144130">
            <w:pPr>
              <w:spacing w:line="320" w:lineRule="exact"/>
              <w:jc w:val="center"/>
              <w:rPr>
                <w:rFonts w:ascii="仿宋_GB2312" w:eastAsia="仿宋_GB2312" w:hAnsi="仿宋_GB2312" w:cs="仿宋_GB2312"/>
                <w:sz w:val="28"/>
                <w:szCs w:val="2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spacing w:line="320" w:lineRule="exact"/>
              <w:jc w:val="center"/>
              <w:rPr>
                <w:rFonts w:ascii="仿宋_GB2312" w:eastAsia="仿宋_GB2312" w:hAnsi="仿宋_GB2312" w:cs="仿宋_GB2312"/>
                <w:sz w:val="28"/>
                <w:szCs w:val="28"/>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widowControl/>
              <w:spacing w:line="320" w:lineRule="exact"/>
              <w:jc w:val="center"/>
              <w:textAlignment w:val="bottom"/>
              <w:rPr>
                <w:rFonts w:ascii="仿宋_GB2312" w:eastAsia="仿宋_GB2312" w:hAnsi="仿宋_GB2312" w:cs="仿宋_GB2312"/>
                <w:sz w:val="30"/>
                <w:szCs w:val="30"/>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14413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144130">
            <w:pPr>
              <w:widowControl/>
              <w:spacing w:line="320" w:lineRule="exact"/>
              <w:jc w:val="center"/>
              <w:textAlignment w:val="bottom"/>
              <w:rPr>
                <w:rFonts w:ascii="仿宋_GB2312" w:eastAsia="仿宋_GB2312" w:hAnsi="仿宋_GB2312" w:cs="仿宋_GB2312"/>
                <w:sz w:val="28"/>
                <w:szCs w:val="28"/>
              </w:rPr>
            </w:pPr>
          </w:p>
        </w:tc>
      </w:tr>
      <w:tr w:rsidR="00144130">
        <w:trPr>
          <w:gridAfter w:val="1"/>
          <w:wAfter w:w="234" w:type="dxa"/>
          <w:trHeight w:val="1040"/>
        </w:trPr>
        <w:tc>
          <w:tcPr>
            <w:tcW w:w="1699" w:type="dxa"/>
            <w:vMerge/>
            <w:tcBorders>
              <w:left w:val="single" w:sz="4" w:space="0" w:color="000000"/>
              <w:right w:val="single" w:sz="4" w:space="0" w:color="000000"/>
            </w:tcBorders>
            <w:shd w:val="clear" w:color="auto" w:fill="auto"/>
            <w:vAlign w:val="center"/>
          </w:tcPr>
          <w:p w:rsidR="00144130" w:rsidRDefault="00144130">
            <w:pPr>
              <w:spacing w:line="320" w:lineRule="exact"/>
              <w:jc w:val="center"/>
              <w:rPr>
                <w:rFonts w:ascii="仿宋_GB2312" w:eastAsia="仿宋_GB2312" w:hAnsi="仿宋_GB2312" w:cs="仿宋_GB2312"/>
                <w:sz w:val="28"/>
                <w:szCs w:val="28"/>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效益</w:t>
            </w:r>
          </w:p>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经济效益</w:t>
            </w:r>
            <w:r>
              <w:rPr>
                <w:rFonts w:ascii="仿宋_GB2312" w:eastAsia="仿宋_GB2312" w:hAnsi="仿宋_GB2312" w:cs="仿宋_GB2312" w:hint="eastAsia"/>
                <w:kern w:val="0"/>
                <w:sz w:val="28"/>
                <w:szCs w:val="28"/>
                <w:lang w:bidi="ar"/>
              </w:rPr>
              <w:t xml:space="preserve">  </w:t>
            </w: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30"/>
                <w:szCs w:val="30"/>
              </w:rPr>
            </w:pPr>
            <w:r>
              <w:rPr>
                <w:rFonts w:ascii="仿宋_GB2312" w:eastAsia="仿宋_GB2312" w:hAnsi="仿宋_GB2312" w:cs="仿宋_GB2312" w:hint="eastAsia"/>
                <w:sz w:val="30"/>
                <w:szCs w:val="30"/>
              </w:rPr>
              <w:t>实现与该设备使用取</w:t>
            </w:r>
            <w:r>
              <w:rPr>
                <w:rFonts w:ascii="仿宋_GB2312" w:eastAsia="仿宋_GB2312" w:hAnsi="仿宋_GB2312" w:cs="仿宋_GB2312" w:hint="eastAsia"/>
                <w:sz w:val="30"/>
                <w:szCs w:val="30"/>
              </w:rPr>
              <w:lastRenderedPageBreak/>
              <w:t>得的项目收入</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&gt;4500</w:t>
            </w:r>
            <w:r>
              <w:rPr>
                <w:rFonts w:ascii="仿宋_GB2312" w:eastAsia="仿宋_GB2312" w:hAnsi="仿宋_GB2312" w:cs="仿宋_GB2312" w:hint="eastAsia"/>
                <w:sz w:val="28"/>
                <w:szCs w:val="28"/>
              </w:rPr>
              <w:t>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7800</w:t>
            </w:r>
            <w:r>
              <w:rPr>
                <w:rFonts w:ascii="仿宋_GB2312" w:eastAsia="仿宋_GB2312" w:hAnsi="仿宋_GB2312" w:cs="仿宋_GB2312" w:hint="eastAsia"/>
                <w:sz w:val="28"/>
                <w:szCs w:val="28"/>
              </w:rPr>
              <w:t>万</w:t>
            </w:r>
          </w:p>
        </w:tc>
      </w:tr>
      <w:tr w:rsidR="00144130">
        <w:trPr>
          <w:gridAfter w:val="1"/>
          <w:wAfter w:w="234" w:type="dxa"/>
          <w:trHeight w:val="480"/>
        </w:trPr>
        <w:tc>
          <w:tcPr>
            <w:tcW w:w="1699" w:type="dxa"/>
            <w:vMerge/>
            <w:tcBorders>
              <w:left w:val="single" w:sz="4" w:space="0" w:color="000000"/>
              <w:right w:val="single" w:sz="4" w:space="0" w:color="000000"/>
            </w:tcBorders>
            <w:shd w:val="clear" w:color="auto" w:fill="auto"/>
            <w:vAlign w:val="center"/>
          </w:tcPr>
          <w:p w:rsidR="00144130" w:rsidRDefault="00144130">
            <w:pPr>
              <w:spacing w:line="320" w:lineRule="exact"/>
              <w:jc w:val="center"/>
              <w:rPr>
                <w:rFonts w:ascii="仿宋_GB2312" w:eastAsia="仿宋_GB2312" w:hAnsi="仿宋_GB2312" w:cs="仿宋_GB2312"/>
                <w:sz w:val="28"/>
                <w:szCs w:val="2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spacing w:line="320" w:lineRule="exact"/>
              <w:jc w:val="center"/>
              <w:rPr>
                <w:rFonts w:ascii="仿宋_GB2312" w:eastAsia="仿宋_GB2312" w:hAnsi="仿宋_GB2312" w:cs="仿宋_GB2312"/>
                <w:sz w:val="28"/>
                <w:szCs w:val="28"/>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社会效益</w:t>
            </w:r>
            <w:r>
              <w:rPr>
                <w:rFonts w:ascii="仿宋_GB2312" w:eastAsia="仿宋_GB2312" w:hAnsi="仿宋_GB2312" w:cs="仿宋_GB2312" w:hint="eastAsia"/>
                <w:kern w:val="0"/>
                <w:sz w:val="28"/>
                <w:szCs w:val="28"/>
                <w:lang w:bidi="ar"/>
              </w:rPr>
              <w:t xml:space="preserve">  </w:t>
            </w: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提高专用设备新度系数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44130">
        <w:trPr>
          <w:gridAfter w:val="1"/>
          <w:wAfter w:w="234" w:type="dxa"/>
          <w:trHeight w:val="577"/>
        </w:trPr>
        <w:tc>
          <w:tcPr>
            <w:tcW w:w="1699" w:type="dxa"/>
            <w:vMerge/>
            <w:tcBorders>
              <w:left w:val="single" w:sz="4" w:space="0" w:color="000000"/>
              <w:right w:val="single" w:sz="4" w:space="0" w:color="000000"/>
            </w:tcBorders>
            <w:shd w:val="clear" w:color="auto" w:fill="auto"/>
            <w:vAlign w:val="center"/>
          </w:tcPr>
          <w:p w:rsidR="00144130" w:rsidRDefault="00144130">
            <w:pPr>
              <w:spacing w:line="320" w:lineRule="exact"/>
              <w:jc w:val="center"/>
              <w:rPr>
                <w:rFonts w:ascii="仿宋_GB2312" w:eastAsia="仿宋_GB2312" w:hAnsi="仿宋_GB2312" w:cs="仿宋_GB2312"/>
                <w:sz w:val="28"/>
                <w:szCs w:val="2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spacing w:line="320" w:lineRule="exact"/>
              <w:jc w:val="center"/>
              <w:rPr>
                <w:rFonts w:ascii="仿宋_GB2312" w:eastAsia="仿宋_GB2312" w:hAnsi="仿宋_GB2312" w:cs="仿宋_GB2312"/>
                <w:sz w:val="28"/>
                <w:szCs w:val="28"/>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生态效益</w:t>
            </w:r>
            <w:r>
              <w:rPr>
                <w:rFonts w:ascii="仿宋_GB2312" w:eastAsia="仿宋_GB2312" w:hAnsi="仿宋_GB2312" w:cs="仿宋_GB2312" w:hint="eastAsia"/>
                <w:kern w:val="0"/>
                <w:sz w:val="28"/>
                <w:szCs w:val="28"/>
                <w:lang w:bidi="ar"/>
              </w:rPr>
              <w:t xml:space="preserve">  </w:t>
            </w: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widowControl/>
              <w:spacing w:line="320" w:lineRule="exact"/>
              <w:jc w:val="center"/>
              <w:textAlignment w:val="bottom"/>
              <w:rPr>
                <w:rFonts w:ascii="仿宋_GB2312" w:eastAsia="仿宋_GB2312" w:hAnsi="仿宋_GB2312" w:cs="仿宋_GB2312"/>
                <w:sz w:val="28"/>
                <w:szCs w:val="28"/>
              </w:rPr>
            </w:pPr>
          </w:p>
        </w:tc>
      </w:tr>
      <w:tr w:rsidR="00144130">
        <w:trPr>
          <w:gridAfter w:val="1"/>
          <w:wAfter w:w="234" w:type="dxa"/>
          <w:trHeight w:val="480"/>
        </w:trPr>
        <w:tc>
          <w:tcPr>
            <w:tcW w:w="1699" w:type="dxa"/>
            <w:vMerge/>
            <w:tcBorders>
              <w:left w:val="single" w:sz="4" w:space="0" w:color="000000"/>
              <w:right w:val="single" w:sz="4" w:space="0" w:color="000000"/>
            </w:tcBorders>
            <w:shd w:val="clear" w:color="auto" w:fill="auto"/>
            <w:vAlign w:val="center"/>
          </w:tcPr>
          <w:p w:rsidR="00144130" w:rsidRDefault="00144130">
            <w:pPr>
              <w:spacing w:line="320" w:lineRule="exact"/>
              <w:jc w:val="center"/>
              <w:rPr>
                <w:rFonts w:ascii="仿宋_GB2312" w:eastAsia="仿宋_GB2312" w:hAnsi="仿宋_GB2312" w:cs="仿宋_GB2312"/>
                <w:sz w:val="28"/>
                <w:szCs w:val="2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spacing w:line="320" w:lineRule="exact"/>
              <w:jc w:val="center"/>
              <w:rPr>
                <w:rFonts w:ascii="仿宋_GB2312" w:eastAsia="仿宋_GB2312" w:hAnsi="仿宋_GB2312" w:cs="仿宋_GB2312"/>
                <w:sz w:val="28"/>
                <w:szCs w:val="28"/>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可持续影响</w:t>
            </w:r>
            <w:r>
              <w:rPr>
                <w:rFonts w:ascii="仿宋_GB2312" w:eastAsia="仿宋_GB2312" w:hAnsi="仿宋_GB2312" w:cs="仿宋_GB2312" w:hint="eastAsia"/>
                <w:kern w:val="0"/>
                <w:sz w:val="28"/>
                <w:szCs w:val="28"/>
                <w:lang w:bidi="ar"/>
              </w:rPr>
              <w:t xml:space="preserve"> </w:t>
            </w: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144130">
            <w:pPr>
              <w:widowControl/>
              <w:spacing w:line="320" w:lineRule="exact"/>
              <w:jc w:val="center"/>
              <w:textAlignment w:val="bottom"/>
              <w:rPr>
                <w:rFonts w:ascii="仿宋_GB2312" w:eastAsia="仿宋_GB2312" w:hAnsi="仿宋_GB2312" w:cs="仿宋_GB2312"/>
                <w:sz w:val="28"/>
                <w:szCs w:val="28"/>
              </w:rPr>
            </w:pPr>
          </w:p>
        </w:tc>
      </w:tr>
      <w:tr w:rsidR="00144130">
        <w:trPr>
          <w:gridAfter w:val="1"/>
          <w:wAfter w:w="234" w:type="dxa"/>
          <w:trHeight w:val="530"/>
        </w:trPr>
        <w:tc>
          <w:tcPr>
            <w:tcW w:w="1699" w:type="dxa"/>
            <w:vMerge/>
            <w:tcBorders>
              <w:left w:val="single" w:sz="4" w:space="0" w:color="000000"/>
              <w:bottom w:val="single" w:sz="4" w:space="0" w:color="000000"/>
              <w:right w:val="single" w:sz="4" w:space="0" w:color="000000"/>
            </w:tcBorders>
            <w:shd w:val="clear" w:color="auto" w:fill="auto"/>
            <w:vAlign w:val="center"/>
          </w:tcPr>
          <w:p w:rsidR="00144130" w:rsidRDefault="00144130">
            <w:pPr>
              <w:spacing w:line="320" w:lineRule="exact"/>
              <w:jc w:val="center"/>
              <w:rPr>
                <w:rFonts w:ascii="仿宋_GB2312" w:eastAsia="仿宋_GB2312" w:hAnsi="仿宋_GB2312" w:cs="仿宋_GB2312"/>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w:t>
            </w:r>
          </w:p>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度指标</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服务对象满意度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30" w:rsidRDefault="00C157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96%</w:t>
            </w:r>
          </w:p>
        </w:tc>
      </w:tr>
    </w:tbl>
    <w:p w:rsidR="00144130" w:rsidRDefault="00144130">
      <w:pPr>
        <w:spacing w:line="600" w:lineRule="exact"/>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144130">
      <w:pPr>
        <w:spacing w:line="600" w:lineRule="exact"/>
        <w:jc w:val="center"/>
        <w:outlineLvl w:val="0"/>
        <w:rPr>
          <w:rFonts w:ascii="黑体" w:eastAsia="黑体" w:hAnsi="黑体"/>
          <w:sz w:val="44"/>
          <w:szCs w:val="44"/>
        </w:rPr>
      </w:pPr>
    </w:p>
    <w:p w:rsidR="00144130" w:rsidRDefault="00C1571D">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55" w:name="_Toc15396619"/>
      <w:bookmarkEnd w:id="52"/>
      <w:bookmarkEnd w:id="54"/>
    </w:p>
    <w:p w:rsidR="00144130" w:rsidRDefault="00C1571D">
      <w:pPr>
        <w:pStyle w:val="2"/>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55"/>
    </w:p>
    <w:p w:rsidR="00144130" w:rsidRDefault="00C1571D">
      <w:pPr>
        <w:pStyle w:val="2"/>
        <w:rPr>
          <w:rFonts w:ascii="仿宋" w:eastAsia="仿宋" w:hAnsi="仿宋"/>
        </w:rPr>
      </w:pPr>
      <w:bookmarkStart w:id="56" w:name="_Toc15396620"/>
      <w:r>
        <w:rPr>
          <w:rFonts w:ascii="仿宋" w:eastAsia="仿宋" w:hAnsi="仿宋" w:hint="eastAsia"/>
          <w:b w:val="0"/>
        </w:rPr>
        <w:t>二、收</w:t>
      </w:r>
      <w:r>
        <w:rPr>
          <w:rStyle w:val="20"/>
          <w:rFonts w:ascii="仿宋" w:eastAsia="仿宋" w:hAnsi="仿宋" w:hint="eastAsia"/>
        </w:rPr>
        <w:t>入决算表</w:t>
      </w:r>
      <w:bookmarkEnd w:id="56"/>
    </w:p>
    <w:p w:rsidR="00144130" w:rsidRDefault="00C1571D">
      <w:pPr>
        <w:pStyle w:val="2"/>
        <w:rPr>
          <w:rFonts w:ascii="仿宋" w:eastAsia="仿宋" w:hAnsi="仿宋"/>
        </w:rPr>
      </w:pPr>
      <w:bookmarkStart w:id="57"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57"/>
    </w:p>
    <w:p w:rsidR="00144130" w:rsidRDefault="00C1571D">
      <w:pPr>
        <w:pStyle w:val="2"/>
        <w:rPr>
          <w:rFonts w:ascii="仿宋" w:eastAsia="仿宋" w:hAnsi="仿宋"/>
          <w:b w:val="0"/>
        </w:rPr>
      </w:pPr>
      <w:bookmarkStart w:id="58"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58"/>
    </w:p>
    <w:p w:rsidR="00144130" w:rsidRDefault="00C1571D">
      <w:pPr>
        <w:pStyle w:val="2"/>
        <w:rPr>
          <w:rStyle w:val="20"/>
          <w:rFonts w:ascii="仿宋" w:eastAsia="仿宋" w:hAnsi="仿宋"/>
        </w:rPr>
      </w:pPr>
      <w:bookmarkStart w:id="59"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60" w:name="_Toc15396624"/>
      <w:bookmarkEnd w:id="59"/>
    </w:p>
    <w:p w:rsidR="00144130" w:rsidRDefault="00C1571D">
      <w:pPr>
        <w:pStyle w:val="2"/>
        <w:rPr>
          <w:rFonts w:ascii="仿宋" w:eastAsia="仿宋" w:hAnsi="仿宋"/>
        </w:rPr>
      </w:pPr>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60"/>
    </w:p>
    <w:p w:rsidR="00144130" w:rsidRDefault="00C1571D">
      <w:pPr>
        <w:pStyle w:val="2"/>
        <w:rPr>
          <w:rFonts w:ascii="仿宋" w:eastAsia="仿宋" w:hAnsi="仿宋"/>
        </w:rPr>
      </w:pPr>
      <w:bookmarkStart w:id="61"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61"/>
    </w:p>
    <w:p w:rsidR="00144130" w:rsidRDefault="00C1571D">
      <w:pPr>
        <w:pStyle w:val="2"/>
        <w:rPr>
          <w:rFonts w:ascii="仿宋" w:eastAsia="仿宋" w:hAnsi="仿宋"/>
        </w:rPr>
      </w:pPr>
      <w:bookmarkStart w:id="62" w:name="_Toc15396626"/>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62"/>
    </w:p>
    <w:p w:rsidR="00144130" w:rsidRDefault="00C1571D">
      <w:pPr>
        <w:pStyle w:val="2"/>
        <w:rPr>
          <w:rFonts w:ascii="仿宋" w:eastAsia="仿宋" w:hAnsi="仿宋"/>
        </w:rPr>
      </w:pPr>
      <w:bookmarkStart w:id="63"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63"/>
    </w:p>
    <w:p w:rsidR="00144130" w:rsidRDefault="00C1571D">
      <w:pPr>
        <w:pStyle w:val="2"/>
        <w:rPr>
          <w:rFonts w:ascii="仿宋" w:eastAsia="仿宋" w:hAnsi="仿宋"/>
        </w:rPr>
      </w:pPr>
      <w:bookmarkStart w:id="64" w:name="_Toc1539662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64"/>
    </w:p>
    <w:p w:rsidR="00144130" w:rsidRDefault="00C1571D">
      <w:pPr>
        <w:pStyle w:val="2"/>
        <w:rPr>
          <w:rFonts w:ascii="仿宋" w:eastAsia="仿宋" w:hAnsi="仿宋"/>
        </w:rPr>
      </w:pPr>
      <w:bookmarkStart w:id="65" w:name="_Toc15396629"/>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65"/>
    </w:p>
    <w:p w:rsidR="00144130" w:rsidRDefault="00C1571D">
      <w:pPr>
        <w:pStyle w:val="2"/>
        <w:rPr>
          <w:rFonts w:ascii="仿宋" w:eastAsia="仿宋" w:hAnsi="仿宋"/>
        </w:rPr>
      </w:pPr>
      <w:bookmarkStart w:id="66" w:name="_Toc15396630"/>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66"/>
    </w:p>
    <w:p w:rsidR="00144130" w:rsidRDefault="00C1571D">
      <w:pPr>
        <w:pStyle w:val="2"/>
        <w:rPr>
          <w:rStyle w:val="20"/>
          <w:rFonts w:ascii="仿宋" w:eastAsia="仿宋" w:hAnsi="仿宋"/>
        </w:rPr>
      </w:pPr>
      <w:bookmarkStart w:id="67" w:name="_Toc15396631"/>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w:t>
      </w:r>
      <w:r>
        <w:rPr>
          <w:rStyle w:val="20"/>
          <w:rFonts w:ascii="仿宋" w:eastAsia="仿宋" w:hAnsi="仿宋" w:hint="eastAsia"/>
        </w:rPr>
        <w:t>财政拨款收入</w:t>
      </w:r>
      <w:r>
        <w:rPr>
          <w:rStyle w:val="20"/>
          <w:rFonts w:ascii="仿宋" w:eastAsia="仿宋" w:hAnsi="仿宋" w:hint="eastAsia"/>
        </w:rPr>
        <w:t>支出决算表</w:t>
      </w:r>
      <w:bookmarkEnd w:id="67"/>
    </w:p>
    <w:p w:rsidR="00144130" w:rsidRDefault="00C1571D">
      <w:pPr>
        <w:rPr>
          <w:rFonts w:eastAsia="仿宋"/>
        </w:rPr>
      </w:pPr>
      <w:r>
        <w:rPr>
          <w:rStyle w:val="20"/>
          <w:rFonts w:ascii="仿宋" w:eastAsia="仿宋" w:hAnsi="仿宋" w:hint="eastAsia"/>
          <w:b w:val="0"/>
          <w:bCs w:val="0"/>
        </w:rPr>
        <w:t>十四、国有资本经营预算财政拨款支出决算表</w:t>
      </w:r>
    </w:p>
    <w:sectPr w:rsidR="00144130">
      <w:footerReference w:type="default" r:id="rId16"/>
      <w:footerReference w:type="firs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1D" w:rsidRDefault="00C1571D">
      <w:r>
        <w:separator/>
      </w:r>
    </w:p>
  </w:endnote>
  <w:endnote w:type="continuationSeparator" w:id="0">
    <w:p w:rsidR="00C1571D" w:rsidRDefault="00C1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sdtPr>
    <w:sdtEndPr/>
    <w:sdtContent>
      <w:p w:rsidR="00144130" w:rsidRDefault="00C1571D">
        <w:pPr>
          <w:pStyle w:val="a7"/>
          <w:jc w:val="center"/>
        </w:pPr>
      </w:p>
    </w:sdtContent>
  </w:sdt>
  <w:p w:rsidR="00144130" w:rsidRDefault="0014413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30" w:rsidRDefault="00C1571D">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4130" w:rsidRDefault="00C1571D">
                          <w:pPr>
                            <w:pStyle w:val="a7"/>
                          </w:pPr>
                          <w:r>
                            <w:fldChar w:fldCharType="begin"/>
                          </w:r>
                          <w:r>
                            <w:instrText xml:space="preserve"> PAGE  \* MERGEFORMAT </w:instrText>
                          </w:r>
                          <w:r>
                            <w:fldChar w:fldCharType="separate"/>
                          </w:r>
                          <w:r w:rsidR="00823E08">
                            <w:rPr>
                              <w:noProof/>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44130" w:rsidRDefault="00C1571D">
                    <w:pPr>
                      <w:pStyle w:val="a7"/>
                    </w:pPr>
                    <w:r>
                      <w:fldChar w:fldCharType="begin"/>
                    </w:r>
                    <w:r>
                      <w:instrText xml:space="preserve"> PAGE  \* MERGEFORMAT </w:instrText>
                    </w:r>
                    <w:r>
                      <w:fldChar w:fldCharType="separate"/>
                    </w:r>
                    <w:r w:rsidR="00823E08">
                      <w:rPr>
                        <w:noProof/>
                      </w:rPr>
                      <w:t>16</w:t>
                    </w:r>
                    <w:r>
                      <w:fldChar w:fldCharType="end"/>
                    </w:r>
                  </w:p>
                </w:txbxContent>
              </v:textbox>
              <w10:wrap anchorx="margin"/>
            </v:shape>
          </w:pict>
        </mc:Fallback>
      </mc:AlternateContent>
    </w:r>
    <w:sdt>
      <w:sdtPr>
        <w:id w:val="-1191682696"/>
      </w:sdtPr>
      <w:sdtEndPr/>
      <w:sdtContent/>
    </w:sdt>
  </w:p>
  <w:p w:rsidR="00144130" w:rsidRDefault="0014413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30" w:rsidRDefault="00C1571D">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4130" w:rsidRDefault="00C1571D">
                          <w:pPr>
                            <w:pStyle w:val="a7"/>
                          </w:pPr>
                          <w:r>
                            <w:fldChar w:fldCharType="begin"/>
                          </w:r>
                          <w:r>
                            <w:instrText xml:space="preserve"> PAGE  \* MERGEFORMAT </w:instrText>
                          </w:r>
                          <w:r>
                            <w:fldChar w:fldCharType="separate"/>
                          </w:r>
                          <w:r w:rsidR="00823E0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144130" w:rsidRDefault="00C1571D">
                    <w:pPr>
                      <w:pStyle w:val="a7"/>
                    </w:pPr>
                    <w:r>
                      <w:fldChar w:fldCharType="begin"/>
                    </w:r>
                    <w:r>
                      <w:instrText xml:space="preserve"> PAGE  \* MERGEFORMAT </w:instrText>
                    </w:r>
                    <w:r>
                      <w:fldChar w:fldCharType="separate"/>
                    </w:r>
                    <w:r w:rsidR="00823E08">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1D" w:rsidRDefault="00C1571D">
      <w:r>
        <w:separator/>
      </w:r>
    </w:p>
  </w:footnote>
  <w:footnote w:type="continuationSeparator" w:id="0">
    <w:p w:rsidR="00C1571D" w:rsidRDefault="00C157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30" w:rsidRDefault="00144130">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C8FBB"/>
    <w:multiLevelType w:val="singleLevel"/>
    <w:tmpl w:val="B0FC8FBB"/>
    <w:lvl w:ilvl="0">
      <w:start w:val="4"/>
      <w:numFmt w:val="chineseCounting"/>
      <w:suff w:val="nothing"/>
      <w:lvlText w:val="（%1）"/>
      <w:lvlJc w:val="left"/>
      <w:rPr>
        <w:rFonts w:hint="eastAsia"/>
      </w:r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eastAsia"/>
        <w:b/>
        <w:bC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D812F50"/>
    <w:multiLevelType w:val="singleLevel"/>
    <w:tmpl w:val="5D812F50"/>
    <w:lvl w:ilvl="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5YjFmMzQzNzIxNTVlNTUyMWMxYTBjMzA4ZGM1OGE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130"/>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15D37"/>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3E0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59FB"/>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0753D"/>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1571D"/>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3598"/>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2C3206"/>
    <w:rsid w:val="02A3576A"/>
    <w:rsid w:val="02F0156E"/>
    <w:rsid w:val="0367073C"/>
    <w:rsid w:val="04D229B8"/>
    <w:rsid w:val="05C438E3"/>
    <w:rsid w:val="067A7CBC"/>
    <w:rsid w:val="07223A34"/>
    <w:rsid w:val="07E82127"/>
    <w:rsid w:val="08404F36"/>
    <w:rsid w:val="09391505"/>
    <w:rsid w:val="09A454D4"/>
    <w:rsid w:val="0A2032A3"/>
    <w:rsid w:val="0B410E64"/>
    <w:rsid w:val="0B8A37D8"/>
    <w:rsid w:val="0C0B63EF"/>
    <w:rsid w:val="0CF06F2A"/>
    <w:rsid w:val="0D4D0FD2"/>
    <w:rsid w:val="0F96725D"/>
    <w:rsid w:val="10C055FF"/>
    <w:rsid w:val="118107EC"/>
    <w:rsid w:val="11DD6519"/>
    <w:rsid w:val="12EC0528"/>
    <w:rsid w:val="13355FDC"/>
    <w:rsid w:val="14AE2FA9"/>
    <w:rsid w:val="14C12454"/>
    <w:rsid w:val="14E25E4A"/>
    <w:rsid w:val="157E0A16"/>
    <w:rsid w:val="16BB723D"/>
    <w:rsid w:val="18015F3F"/>
    <w:rsid w:val="1BE8440E"/>
    <w:rsid w:val="1D155CEE"/>
    <w:rsid w:val="1D1F0A39"/>
    <w:rsid w:val="1D9D0293"/>
    <w:rsid w:val="1DF211A3"/>
    <w:rsid w:val="20425C92"/>
    <w:rsid w:val="2047463D"/>
    <w:rsid w:val="205A1B67"/>
    <w:rsid w:val="20F57F95"/>
    <w:rsid w:val="221A2624"/>
    <w:rsid w:val="240371BF"/>
    <w:rsid w:val="24831EEB"/>
    <w:rsid w:val="256619CC"/>
    <w:rsid w:val="25C741E6"/>
    <w:rsid w:val="27773A05"/>
    <w:rsid w:val="27842671"/>
    <w:rsid w:val="29FD04D3"/>
    <w:rsid w:val="2A9B4387"/>
    <w:rsid w:val="2ABE7A3E"/>
    <w:rsid w:val="2CDF70CF"/>
    <w:rsid w:val="2D8E7CB1"/>
    <w:rsid w:val="2E6718EF"/>
    <w:rsid w:val="2EFA178C"/>
    <w:rsid w:val="30B46D73"/>
    <w:rsid w:val="3138396A"/>
    <w:rsid w:val="319F7F4E"/>
    <w:rsid w:val="34627E5E"/>
    <w:rsid w:val="34B20CC7"/>
    <w:rsid w:val="37A679EE"/>
    <w:rsid w:val="381E0F70"/>
    <w:rsid w:val="389777DB"/>
    <w:rsid w:val="394A74A1"/>
    <w:rsid w:val="39AE70AB"/>
    <w:rsid w:val="3A1242E6"/>
    <w:rsid w:val="3C0C0783"/>
    <w:rsid w:val="3C616C4D"/>
    <w:rsid w:val="3DCC1381"/>
    <w:rsid w:val="3F42003E"/>
    <w:rsid w:val="3F5D7B66"/>
    <w:rsid w:val="3F9F3A96"/>
    <w:rsid w:val="402214C1"/>
    <w:rsid w:val="42957E13"/>
    <w:rsid w:val="439223F0"/>
    <w:rsid w:val="44C469D0"/>
    <w:rsid w:val="45D74AEB"/>
    <w:rsid w:val="4677789F"/>
    <w:rsid w:val="47046EAE"/>
    <w:rsid w:val="476954C4"/>
    <w:rsid w:val="47AC48AF"/>
    <w:rsid w:val="493C27E9"/>
    <w:rsid w:val="496F39ED"/>
    <w:rsid w:val="49FF41D3"/>
    <w:rsid w:val="4A192111"/>
    <w:rsid w:val="4AFD0337"/>
    <w:rsid w:val="4BE068DB"/>
    <w:rsid w:val="4BF6002B"/>
    <w:rsid w:val="4DE964F6"/>
    <w:rsid w:val="4EAC3D58"/>
    <w:rsid w:val="4ECE2238"/>
    <w:rsid w:val="4F2F6737"/>
    <w:rsid w:val="4F9F3ABC"/>
    <w:rsid w:val="4FB323AE"/>
    <w:rsid w:val="50350F29"/>
    <w:rsid w:val="51984A67"/>
    <w:rsid w:val="51DB4B86"/>
    <w:rsid w:val="51F9669A"/>
    <w:rsid w:val="528C1EA6"/>
    <w:rsid w:val="53105049"/>
    <w:rsid w:val="53C1559F"/>
    <w:rsid w:val="53D045E2"/>
    <w:rsid w:val="54527990"/>
    <w:rsid w:val="547E7570"/>
    <w:rsid w:val="5527753F"/>
    <w:rsid w:val="55333C3E"/>
    <w:rsid w:val="57497744"/>
    <w:rsid w:val="5B411CCC"/>
    <w:rsid w:val="5B730E27"/>
    <w:rsid w:val="5BA57918"/>
    <w:rsid w:val="5D1C02FB"/>
    <w:rsid w:val="5D7F2C8D"/>
    <w:rsid w:val="5F625DC9"/>
    <w:rsid w:val="605271E2"/>
    <w:rsid w:val="61CB5BF9"/>
    <w:rsid w:val="61EF024D"/>
    <w:rsid w:val="62027B6C"/>
    <w:rsid w:val="642E4396"/>
    <w:rsid w:val="64CA39A1"/>
    <w:rsid w:val="65490C94"/>
    <w:rsid w:val="65554CF2"/>
    <w:rsid w:val="65EF1435"/>
    <w:rsid w:val="673B73C5"/>
    <w:rsid w:val="693A31F6"/>
    <w:rsid w:val="6BB90946"/>
    <w:rsid w:val="6C4A05C8"/>
    <w:rsid w:val="6C80207E"/>
    <w:rsid w:val="6CBB4938"/>
    <w:rsid w:val="6CF8761B"/>
    <w:rsid w:val="6D77157D"/>
    <w:rsid w:val="6D7C522B"/>
    <w:rsid w:val="6F550161"/>
    <w:rsid w:val="6F683873"/>
    <w:rsid w:val="70A039BC"/>
    <w:rsid w:val="72734D90"/>
    <w:rsid w:val="73D7228F"/>
    <w:rsid w:val="74066BC0"/>
    <w:rsid w:val="757E3D89"/>
    <w:rsid w:val="76051595"/>
    <w:rsid w:val="762E77B7"/>
    <w:rsid w:val="7713623D"/>
    <w:rsid w:val="79547FF4"/>
    <w:rsid w:val="79E7B28D"/>
    <w:rsid w:val="7A104EF7"/>
    <w:rsid w:val="7A8906E5"/>
    <w:rsid w:val="7B3A58B6"/>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2559B"/>
  <w15:docId w15:val="{535FEFD6-A743-4A7A-A512-77204AE8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beforeLines="30"/>
    </w:pPr>
    <w:rPr>
      <w:rFonts w:ascii="仿宋_GB2312" w:eastAsia="仿宋_GB2312"/>
      <w:kern w:val="0"/>
      <w:sz w:val="30"/>
    </w:rPr>
  </w:style>
  <w:style w:type="paragraph" w:styleId="31">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paragraph" w:styleId="ab">
    <w:name w:val="Normal (Web)"/>
    <w:basedOn w:val="a"/>
    <w:uiPriority w:val="99"/>
    <w:semiHidden/>
    <w:unhideWhenUsed/>
    <w:qFormat/>
    <w:pPr>
      <w:spacing w:beforeAutospacing="1" w:afterAutospacing="1"/>
      <w:jc w:val="left"/>
    </w:pPr>
    <w:rPr>
      <w:kern w:val="0"/>
      <w:sz w:val="24"/>
    </w:rPr>
  </w:style>
  <w:style w:type="character" w:styleId="ac">
    <w:name w:val="Strong"/>
    <w:basedOn w:val="a1"/>
    <w:uiPriority w:val="99"/>
    <w:qFormat/>
    <w:rPr>
      <w:b/>
    </w:rPr>
  </w:style>
  <w:style w:type="character" w:styleId="ad">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
    <w:name w:val="四号正文"/>
    <w:basedOn w:val="a"/>
    <w:qFormat/>
    <w:pPr>
      <w:spacing w:line="360" w:lineRule="auto"/>
    </w:pPr>
    <w:rPr>
      <w:rFonts w:ascii="??" w:hAnsi="??"/>
      <w:color w:val="000000"/>
      <w:kern w:val="0"/>
      <w:sz w:val="28"/>
      <w:szCs w:val="21"/>
    </w:rPr>
  </w:style>
  <w:style w:type="paragraph" w:customStyle="1" w:styleId="12">
    <w:name w:val="无间隔1"/>
    <w:qFormat/>
    <w:pPr>
      <w:adjustRightInd w:val="0"/>
      <w:snapToGrid w:val="0"/>
      <w:ind w:firstLineChars="150" w:firstLine="150"/>
    </w:pPr>
    <w:rPr>
      <w:rFonts w:ascii="Tahoma" w:eastAsia="仿宋" w:hAnsi="Tahom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26032;&#24314;%20XLSX%20&#24037;&#20316;&#349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esktop\&#26032;&#24314;%20XLSX%20&#24037;&#20316;&#34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6032;&#24314;%20XLSX%20&#24037;&#20316;&#34920;.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novo\Desktop\&#26032;&#24314;%20XLSX%20&#24037;&#20316;&#34920;.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novo\Desktop\&#26032;&#24314;%20XLSX%20&#24037;&#20316;&#34920;.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novo\Desktop\&#26032;&#24314;%20XLSX%20&#24037;&#20316;&#3492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收、支决算总计变动情况图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stacked"/>
        <c:varyColors val="0"/>
        <c:ser>
          <c:idx val="0"/>
          <c:order val="0"/>
          <c:tx>
            <c:strRef>
              <c:f>'[新建 XLSX 工作表.xlsx]Sheet1'!$D$18</c:f>
              <c:strCache>
                <c:ptCount val="1"/>
                <c:pt idx="0">
                  <c:v>收、支决算总计变动情况图</c:v>
                </c:pt>
              </c:strCache>
            </c:strRef>
          </c:tx>
          <c:spPr>
            <a:solidFill>
              <a:schemeClr val="accent1"/>
            </a:solidFill>
            <a:ln>
              <a:noFill/>
            </a:ln>
            <a:effectLst>
              <a:outerShdw blurRad="50800" dist="38100" dir="5400000" algn="ctr" rotWithShape="0">
                <a:srgbClr val="000000">
                  <a:alpha val="43000"/>
                </a:srgbClr>
              </a:outerShdw>
            </a:effectLst>
          </c:spPr>
          <c:invertIfNegative val="0"/>
          <c:dPt>
            <c:idx val="0"/>
            <c:invertIfNegative val="0"/>
            <c:bubble3D val="0"/>
            <c:spPr>
              <a:solidFill>
                <a:schemeClr val="accent3"/>
              </a:solidFill>
              <a:ln>
                <a:noFill/>
              </a:ln>
              <a:effectLst>
                <a:outerShdw blurRad="50800" dist="38100" dir="5400000" algn="ctr" rotWithShape="0">
                  <a:srgbClr val="000000">
                    <a:alpha val="43000"/>
                  </a:srgbClr>
                </a:outerShdw>
              </a:effectLst>
            </c:spPr>
            <c:extLst>
              <c:ext xmlns:c16="http://schemas.microsoft.com/office/drawing/2014/chart" uri="{C3380CC4-5D6E-409C-BE32-E72D297353CC}">
                <c16:uniqueId val="{00000001-AB17-4B16-926E-A04D337EF176}"/>
              </c:ext>
            </c:extLst>
          </c:dPt>
          <c:dPt>
            <c:idx val="1"/>
            <c:invertIfNegative val="0"/>
            <c:bubble3D val="0"/>
            <c:spPr>
              <a:solidFill>
                <a:schemeClr val="accent6">
                  <a:lumMod val="75000"/>
                </a:schemeClr>
              </a:solidFill>
              <a:ln>
                <a:noFill/>
              </a:ln>
              <a:effectLst>
                <a:outerShdw blurRad="50800" dist="38100" dir="5400000" algn="ctr" rotWithShape="0">
                  <a:srgbClr val="000000">
                    <a:alpha val="43000"/>
                  </a:srgbClr>
                </a:outerShdw>
              </a:effectLst>
            </c:spPr>
            <c:extLst>
              <c:ext xmlns:c16="http://schemas.microsoft.com/office/drawing/2014/chart" uri="{C3380CC4-5D6E-409C-BE32-E72D297353CC}">
                <c16:uniqueId val="{00000003-AB17-4B16-926E-A04D337EF176}"/>
              </c:ext>
            </c:extLst>
          </c:dPt>
          <c:dLbls>
            <c:dLbl>
              <c:idx val="0"/>
              <c:layout>
                <c:manualLayout>
                  <c:x val="-6.2500000000000003E-3"/>
                  <c:y val="-0.378472222222221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17-4B16-926E-A04D337EF176}"/>
                </c:ext>
              </c:extLst>
            </c:dLbl>
            <c:dLbl>
              <c:idx val="1"/>
              <c:layout>
                <c:manualLayout>
                  <c:x val="0"/>
                  <c:y val="-0.295138888888889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17-4B16-926E-A04D337EF176}"/>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'[新建 XLSX 工作表.xlsx]Sheet1'!$C$19:$C$20</c:f>
              <c:strCache>
                <c:ptCount val="2"/>
                <c:pt idx="0">
                  <c:v>2020年</c:v>
                </c:pt>
                <c:pt idx="1">
                  <c:v>2021年</c:v>
                </c:pt>
              </c:strCache>
            </c:strRef>
          </c:cat>
          <c:val>
            <c:numRef>
              <c:f>'[新建 XLSX 工作表.xlsx]Sheet1'!$D$19:$D$20</c:f>
              <c:numCache>
                <c:formatCode>General</c:formatCode>
                <c:ptCount val="2"/>
                <c:pt idx="0">
                  <c:v>11127.11</c:v>
                </c:pt>
                <c:pt idx="1">
                  <c:v>8549.23</c:v>
                </c:pt>
              </c:numCache>
            </c:numRef>
          </c:val>
          <c:extLst>
            <c:ext xmlns:c16="http://schemas.microsoft.com/office/drawing/2014/chart" uri="{C3380CC4-5D6E-409C-BE32-E72D297353CC}">
              <c16:uniqueId val="{00000004-AB17-4B16-926E-A04D337EF176}"/>
            </c:ext>
          </c:extLst>
        </c:ser>
        <c:dLbls>
          <c:showLegendKey val="0"/>
          <c:showVal val="1"/>
          <c:showCatName val="0"/>
          <c:showSerName val="0"/>
          <c:showPercent val="0"/>
          <c:showBubbleSize val="0"/>
        </c:dLbls>
        <c:gapWidth val="331"/>
        <c:overlap val="98"/>
        <c:axId val="435455058"/>
        <c:axId val="693994106"/>
      </c:barChart>
      <c:catAx>
        <c:axId val="4354550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93994106"/>
        <c:crosses val="autoZero"/>
        <c:auto val="1"/>
        <c:lblAlgn val="ctr"/>
        <c:lblOffset val="100"/>
        <c:noMultiLvlLbl val="0"/>
      </c:catAx>
      <c:valAx>
        <c:axId val="69399410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354550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solidFill>
                  <a:schemeClr val="tx1">
                    <a:lumMod val="75000"/>
                    <a:lumOff val="25000"/>
                  </a:schemeClr>
                </a:solidFill>
                <a:uFillTx/>
              </a:rPr>
              <a:t>收入决算结构图</a:t>
            </a:r>
          </a:p>
        </c:rich>
      </c:tx>
      <c:layout>
        <c:manualLayout>
          <c:xMode val="edge"/>
          <c:yMode val="edge"/>
          <c:x val="3.4305555555555603E-2"/>
          <c:y val="4.8611111111111098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'[新建 XLSX 工作表.xlsx]Sheet1'!$D$37</c:f>
              <c:strCache>
                <c:ptCount val="1"/>
                <c:pt idx="0">
                  <c:v>收入决算结构图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FDF-4A7C-A4C1-24C378FBFA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FDF-4A7C-A4C1-24C378FBFA9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FDF-4A7C-A4C1-24C378FBFA90}"/>
              </c:ext>
            </c:extLst>
          </c:dPt>
          <c:dLbls>
            <c:dLbl>
              <c:idx val="1"/>
              <c:layout>
                <c:manualLayout>
                  <c:x val="-3.125E-2"/>
                  <c:y val="-6.944444444444439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DF-4A7C-A4C1-24C378FBFA90}"/>
                </c:ext>
              </c:extLst>
            </c:dLbl>
            <c:dLbl>
              <c:idx val="2"/>
              <c:layout>
                <c:manualLayout>
                  <c:x val="8.5416666666666696E-2"/>
                  <c:y val="-3.472222222222219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DF-4A7C-A4C1-24C378FBFA90}"/>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'[新建 XLSX 工作表.xlsx]Sheet1'!$C$38:$C$40</c:f>
              <c:strCache>
                <c:ptCount val="3"/>
                <c:pt idx="0">
                  <c:v>财政拨款收入</c:v>
                </c:pt>
                <c:pt idx="1">
                  <c:v>经营收入</c:v>
                </c:pt>
                <c:pt idx="2">
                  <c:v>其他收入</c:v>
                </c:pt>
              </c:strCache>
            </c:strRef>
          </c:cat>
          <c:val>
            <c:numRef>
              <c:f>'[新建 XLSX 工作表.xlsx]Sheet1'!$D$38:$D$40</c:f>
              <c:numCache>
                <c:formatCode>0.00%</c:formatCode>
                <c:ptCount val="3"/>
                <c:pt idx="0">
                  <c:v>0.97740000000000005</c:v>
                </c:pt>
                <c:pt idx="1">
                  <c:v>2.1600000000000001E-2</c:v>
                </c:pt>
                <c:pt idx="2">
                  <c:v>1E-3</c:v>
                </c:pt>
              </c:numCache>
            </c:numRef>
          </c:val>
          <c:extLst>
            <c:ext xmlns:c16="http://schemas.microsoft.com/office/drawing/2014/chart" uri="{C3380CC4-5D6E-409C-BE32-E72D297353CC}">
              <c16:uniqueId val="{00000006-8FDF-4A7C-A4C1-24C378FBFA90}"/>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支出决算结构图</a:t>
            </a:r>
          </a:p>
        </c:rich>
      </c:tx>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'[新建 XLSX 工作表.xlsx]Sheet1'!$D$62</c:f>
              <c:strCache>
                <c:ptCount val="1"/>
                <c:pt idx="0">
                  <c:v>支出决算结构图</c:v>
                </c:pt>
              </c:strCache>
            </c:strRef>
          </c:tx>
          <c:spPr>
            <a:solidFill>
              <a:schemeClr val="accent6">
                <a:lumMod val="75000"/>
              </a:schemeClr>
            </a:solidFill>
            <a:ln w="25400">
              <a:noFill/>
            </a:ln>
            <a:scene3d>
              <a:camera prst="orthographicFront"/>
              <a:lightRig rig="threePt" dir="t"/>
            </a:scene3d>
            <a:sp3d contourW="25400"/>
          </c:spPr>
          <c:dPt>
            <c:idx val="0"/>
            <c:bubble3D val="0"/>
            <c:spPr>
              <a:gradFill>
                <a:gsLst>
                  <a:gs pos="0">
                    <a:srgbClr val="A0B7A5"/>
                  </a:gs>
                  <a:gs pos="94000">
                    <a:srgbClr val="6AA18E"/>
                  </a:gs>
                </a:gsLst>
                <a:lin ang="0" scaled="1"/>
              </a:gradFill>
              <a:ln w="25400">
                <a:noFill/>
              </a:ln>
              <a:effectLst>
                <a:outerShdw blurRad="215900" dist="127000" dir="10200000" sx="67000" sy="67000" algn="ctr" rotWithShape="0">
                  <a:srgbClr val="000000">
                    <a:alpha val="27000"/>
                  </a:srgbClr>
                </a:outerShdw>
              </a:effectLst>
              <a:scene3d>
                <a:camera prst="orthographicFront"/>
                <a:lightRig rig="threePt" dir="t"/>
              </a:scene3d>
              <a:sp3d contourW="25400"/>
            </c:spPr>
            <c:extLst>
              <c:ext xmlns:c16="http://schemas.microsoft.com/office/drawing/2014/chart" uri="{C3380CC4-5D6E-409C-BE32-E72D297353CC}">
                <c16:uniqueId val="{00000001-D8A7-4117-B19B-29E3094AE30B}"/>
              </c:ext>
            </c:extLst>
          </c:dPt>
          <c:dPt>
            <c:idx val="1"/>
            <c:bubble3D val="0"/>
            <c:spPr>
              <a:solidFill>
                <a:schemeClr val="accent4">
                  <a:lumMod val="60000"/>
                  <a:lumOff val="40000"/>
                </a:schemeClr>
              </a:solidFill>
              <a:ln w="25400">
                <a:noFill/>
              </a:ln>
              <a:effectLst/>
              <a:scene3d>
                <a:camera prst="orthographicFront"/>
                <a:lightRig rig="threePt" dir="t"/>
              </a:scene3d>
              <a:sp3d contourW="25400"/>
            </c:spPr>
            <c:extLst>
              <c:ext xmlns:c16="http://schemas.microsoft.com/office/drawing/2014/chart" uri="{C3380CC4-5D6E-409C-BE32-E72D297353CC}">
                <c16:uniqueId val="{00000003-D8A7-4117-B19B-29E3094AE30B}"/>
              </c:ext>
            </c:extLst>
          </c:dPt>
          <c:dPt>
            <c:idx val="2"/>
            <c:bubble3D val="0"/>
            <c:spPr>
              <a:solidFill>
                <a:schemeClr val="accent6">
                  <a:lumMod val="75000"/>
                </a:schemeClr>
              </a:solidFill>
              <a:ln w="25400">
                <a:noFill/>
              </a:ln>
              <a:effectLst/>
              <a:scene3d>
                <a:camera prst="orthographicFront"/>
                <a:lightRig rig="threePt" dir="t"/>
              </a:scene3d>
              <a:sp3d contourW="25400"/>
            </c:spPr>
            <c:extLst>
              <c:ext xmlns:c16="http://schemas.microsoft.com/office/drawing/2014/chart" uri="{C3380CC4-5D6E-409C-BE32-E72D297353CC}">
                <c16:uniqueId val="{00000005-D8A7-4117-B19B-29E3094AE30B}"/>
              </c:ext>
            </c:extLst>
          </c:dPt>
          <c:dLbls>
            <c:dLbl>
              <c:idx val="0"/>
              <c:tx>
                <c:rich>
                  <a:bodyPr/>
                  <a:lstStyle/>
                  <a:p>
                    <a:r>
                      <a:rPr lang="zh-CN" altLang="en-US"/>
                      <a:t>基本支出 </a:t>
                    </a:r>
                    <a:r>
                      <a:rPr lang="en-US" altLang="zh-CN"/>
                      <a:t>80.39%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A7-4117-B19B-29E3094AE30B}"/>
                </c:ext>
              </c:extLst>
            </c:dLbl>
            <c:dLbl>
              <c:idx val="1"/>
              <c:tx>
                <c:rich>
                  <a:bodyPr/>
                  <a:lstStyle/>
                  <a:p>
                    <a:r>
                      <a:rPr lang="zh-CN" altLang="en-US"/>
                      <a:t>项目支出 </a:t>
                    </a:r>
                    <a:r>
                      <a:rPr lang="en-US" altLang="zh-CN"/>
                      <a:t>19.31%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A7-4117-B19B-29E3094AE30B}"/>
                </c:ext>
              </c:extLst>
            </c:dLbl>
            <c:dLbl>
              <c:idx val="2"/>
              <c:tx>
                <c:rich>
                  <a:bodyPr/>
                  <a:lstStyle/>
                  <a:p>
                    <a:r>
                      <a:rPr lang="zh-CN" altLang="en-US"/>
                      <a:t>经营支出 </a:t>
                    </a:r>
                    <a:r>
                      <a:rPr lang="en-US" altLang="zh-CN"/>
                      <a:t>0.30%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8A7-4117-B19B-29E3094AE30B}"/>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'[新建 XLSX 工作表.xlsx]Sheet1'!$C$63:$C$65</c:f>
              <c:strCache>
                <c:ptCount val="3"/>
                <c:pt idx="0">
                  <c:v>基本支出</c:v>
                </c:pt>
                <c:pt idx="1">
                  <c:v>项目支出</c:v>
                </c:pt>
                <c:pt idx="2">
                  <c:v>经营支出</c:v>
                </c:pt>
              </c:strCache>
            </c:strRef>
          </c:cat>
          <c:val>
            <c:numRef>
              <c:f>'[新建 XLSX 工作表.xlsx]Sheet1'!$D$63:$D$65</c:f>
              <c:numCache>
                <c:formatCode>0.00%</c:formatCode>
                <c:ptCount val="3"/>
                <c:pt idx="0">
                  <c:v>0.80389999999999995</c:v>
                </c:pt>
                <c:pt idx="1">
                  <c:v>0.19309999999999999</c:v>
                </c:pt>
                <c:pt idx="2">
                  <c:v>3.0000000000000001E-3</c:v>
                </c:pt>
              </c:numCache>
            </c:numRef>
          </c:val>
          <c:extLst>
            <c:ext xmlns:c16="http://schemas.microsoft.com/office/drawing/2014/chart" uri="{C3380CC4-5D6E-409C-BE32-E72D297353CC}">
              <c16:uniqueId val="{00000006-D8A7-4117-B19B-29E3094AE30B}"/>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财政拨款收、支决算总计变动情况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stacked"/>
        <c:varyColors val="0"/>
        <c:ser>
          <c:idx val="0"/>
          <c:order val="0"/>
          <c:tx>
            <c:strRef>
              <c:f>'[新建 XLSX 工作表.xlsx]Sheet1'!$D$80</c:f>
              <c:strCache>
                <c:ptCount val="1"/>
                <c:pt idx="0">
                  <c:v>财政拨款收、支决算总计变动情况</c:v>
                </c:pt>
              </c:strCache>
            </c:strRef>
          </c:tx>
          <c:spPr>
            <a:gradFill>
              <a:gsLst>
                <a:gs pos="50000">
                  <a:srgbClr val="ED8D72"/>
                </a:gs>
                <a:gs pos="0">
                  <a:srgbClr val="F3B3A1"/>
                </a:gs>
                <a:gs pos="100000">
                  <a:srgbClr val="E66643"/>
                </a:gs>
              </a:gsLst>
              <a:lin scaled="1"/>
            </a:gradFill>
            <a:ln>
              <a:noFill/>
            </a:ln>
            <a:effectLst/>
          </c:spPr>
          <c:invertIfNegative val="0"/>
          <c:dPt>
            <c:idx val="1"/>
            <c:invertIfNegative val="0"/>
            <c:bubble3D val="0"/>
            <c:spPr>
              <a:gradFill>
                <a:gsLst>
                  <a:gs pos="0">
                    <a:srgbClr val="56A0B9"/>
                  </a:gs>
                  <a:gs pos="100000">
                    <a:srgbClr val="5DBDC3"/>
                  </a:gs>
                </a:gsLst>
                <a:lin scaled="1"/>
              </a:gradFill>
              <a:ln>
                <a:noFill/>
              </a:ln>
              <a:effectLst/>
            </c:spPr>
            <c:extLst>
              <c:ext xmlns:c16="http://schemas.microsoft.com/office/drawing/2014/chart" uri="{C3380CC4-5D6E-409C-BE32-E72D297353CC}">
                <c16:uniqueId val="{00000001-A0AC-4890-B02C-4DC7B5E8AA5E}"/>
              </c:ext>
            </c:extLst>
          </c:dPt>
          <c:dLbls>
            <c:dLbl>
              <c:idx val="0"/>
              <c:layout>
                <c:manualLayout>
                  <c:x val="2.0833333333333298E-3"/>
                  <c:y val="-0.3645833333333329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AC-4890-B02C-4DC7B5E8AA5E}"/>
                </c:ext>
              </c:extLst>
            </c:dLbl>
            <c:dLbl>
              <c:idx val="1"/>
              <c:layout>
                <c:manualLayout>
                  <c:x val="0"/>
                  <c:y val="-0.295138888888889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AC-4890-B02C-4DC7B5E8AA5E}"/>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'[新建 XLSX 工作表.xlsx]Sheet1'!$C$81:$C$82</c:f>
              <c:strCache>
                <c:ptCount val="2"/>
                <c:pt idx="0">
                  <c:v>2020年</c:v>
                </c:pt>
                <c:pt idx="1">
                  <c:v>2021年</c:v>
                </c:pt>
              </c:strCache>
            </c:strRef>
          </c:cat>
          <c:val>
            <c:numRef>
              <c:f>'[新建 XLSX 工作表.xlsx]Sheet1'!$D$81:$D$82</c:f>
              <c:numCache>
                <c:formatCode>General</c:formatCode>
                <c:ptCount val="2"/>
                <c:pt idx="0">
                  <c:v>10094.959999999999</c:v>
                </c:pt>
                <c:pt idx="1">
                  <c:v>7666.45</c:v>
                </c:pt>
              </c:numCache>
            </c:numRef>
          </c:val>
          <c:extLst>
            <c:ext xmlns:c16="http://schemas.microsoft.com/office/drawing/2014/chart" uri="{C3380CC4-5D6E-409C-BE32-E72D297353CC}">
              <c16:uniqueId val="{00000003-A0AC-4890-B02C-4DC7B5E8AA5E}"/>
            </c:ext>
          </c:extLst>
        </c:ser>
        <c:dLbls>
          <c:showLegendKey val="0"/>
          <c:showVal val="1"/>
          <c:showCatName val="0"/>
          <c:showSerName val="0"/>
          <c:showPercent val="0"/>
          <c:showBubbleSize val="0"/>
        </c:dLbls>
        <c:gapWidth val="350"/>
        <c:overlap val="100"/>
        <c:axId val="818150828"/>
        <c:axId val="694261912"/>
      </c:barChart>
      <c:catAx>
        <c:axId val="8181508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94261912"/>
        <c:crosses val="autoZero"/>
        <c:auto val="1"/>
        <c:lblAlgn val="ctr"/>
        <c:lblOffset val="100"/>
        <c:noMultiLvlLbl val="0"/>
      </c:catAx>
      <c:valAx>
        <c:axId val="694261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181508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一般公共预算财政拨款支出决算变动情况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stacked"/>
        <c:varyColors val="0"/>
        <c:ser>
          <c:idx val="0"/>
          <c:order val="0"/>
          <c:tx>
            <c:strRef>
              <c:f>'[新建 XLSX 工作表.xlsx]Sheet1'!$D$96</c:f>
              <c:strCache>
                <c:ptCount val="1"/>
                <c:pt idx="0">
                  <c:v>一般公共预算财政拨款支出决算变动情况</c:v>
                </c:pt>
              </c:strCache>
            </c:strRef>
          </c:tx>
          <c:spPr>
            <a:solidFill>
              <a:schemeClr val="accent1"/>
            </a:solidFill>
            <a:ln>
              <a:noFill/>
            </a:ln>
            <a:effectLst/>
          </c:spPr>
          <c:invertIfNegative val="0"/>
          <c:dPt>
            <c:idx val="0"/>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1-D60D-4D3D-81A7-CE47E2B40BE2}"/>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3-D60D-4D3D-81A7-CE47E2B40BE2}"/>
              </c:ext>
            </c:extLst>
          </c:dPt>
          <c:dLbls>
            <c:dLbl>
              <c:idx val="0"/>
              <c:layout>
                <c:manualLayout>
                  <c:x val="8.3333333333333297E-3"/>
                  <c:y val="-0.361111111111110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0D-4D3D-81A7-CE47E2B40BE2}"/>
                </c:ext>
              </c:extLst>
            </c:dLbl>
            <c:dLbl>
              <c:idx val="1"/>
              <c:layout>
                <c:manualLayout>
                  <c:x val="4.1666666666666701E-3"/>
                  <c:y val="-0.3020833333333329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0D-4D3D-81A7-CE47E2B40BE2}"/>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'[新建 XLSX 工作表.xlsx]Sheet1'!$C$97:$C$98</c:f>
              <c:strCache>
                <c:ptCount val="2"/>
                <c:pt idx="0">
                  <c:v>2020年</c:v>
                </c:pt>
                <c:pt idx="1">
                  <c:v>2021年</c:v>
                </c:pt>
              </c:strCache>
            </c:strRef>
          </c:cat>
          <c:val>
            <c:numRef>
              <c:f>'[新建 XLSX 工作表.xlsx]Sheet1'!$D$97:$D$98</c:f>
              <c:numCache>
                <c:formatCode>General</c:formatCode>
                <c:ptCount val="2"/>
                <c:pt idx="0">
                  <c:v>10094.959999999999</c:v>
                </c:pt>
                <c:pt idx="1">
                  <c:v>7666.45</c:v>
                </c:pt>
              </c:numCache>
            </c:numRef>
          </c:val>
          <c:extLst>
            <c:ext xmlns:c16="http://schemas.microsoft.com/office/drawing/2014/chart" uri="{C3380CC4-5D6E-409C-BE32-E72D297353CC}">
              <c16:uniqueId val="{00000004-D60D-4D3D-81A7-CE47E2B40BE2}"/>
            </c:ext>
          </c:extLst>
        </c:ser>
        <c:dLbls>
          <c:showLegendKey val="0"/>
          <c:showVal val="1"/>
          <c:showCatName val="0"/>
          <c:showSerName val="0"/>
          <c:showPercent val="0"/>
          <c:showBubbleSize val="0"/>
        </c:dLbls>
        <c:gapWidth val="350"/>
        <c:overlap val="100"/>
        <c:axId val="88813858"/>
        <c:axId val="231335380"/>
      </c:barChart>
      <c:catAx>
        <c:axId val="888138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1335380"/>
        <c:crosses val="autoZero"/>
        <c:auto val="1"/>
        <c:lblAlgn val="ctr"/>
        <c:lblOffset val="100"/>
        <c:noMultiLvlLbl val="0"/>
      </c:catAx>
      <c:valAx>
        <c:axId val="2313353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88138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一般公共预算财政拨款</a:t>
            </a:r>
          </a:p>
          <a:p>
            <a:pPr defTabSz="914400">
              <a:defRPr/>
            </a:pPr>
            <a:r>
              <a:rPr lang="zh-CN" altLang="en-US" b="1"/>
              <a:t>支出决算结构</a:t>
            </a:r>
          </a:p>
        </c:rich>
      </c:tx>
      <c:layout>
        <c:manualLayout>
          <c:xMode val="edge"/>
          <c:yMode val="edge"/>
          <c:x val="1.51809570075298E-2"/>
          <c:y val="2.79503105590062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'[新建 XLSX 工作表.xlsx]Sheet1'!$D$110</c:f>
              <c:strCache>
                <c:ptCount val="1"/>
                <c:pt idx="0">
                  <c:v>一般公共预算财政拨款支出决算结构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89-4B41-9876-F33CAF341E99}"/>
              </c:ext>
            </c:extLst>
          </c:dPt>
          <c:dPt>
            <c:idx val="1"/>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03-BD89-4B41-9876-F33CAF341E9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89-4B41-9876-F33CAF341E99}"/>
              </c:ext>
            </c:extLst>
          </c:dPt>
          <c:dPt>
            <c:idx val="3"/>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7-BD89-4B41-9876-F33CAF341E99}"/>
              </c:ext>
            </c:extLst>
          </c:dPt>
          <c:dPt>
            <c:idx val="4"/>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9-BD89-4B41-9876-F33CAF341E99}"/>
              </c:ext>
            </c:extLst>
          </c:dPt>
          <c:dLbls>
            <c:dLbl>
              <c:idx val="0"/>
              <c:layout>
                <c:manualLayout>
                  <c:x val="0"/>
                  <c:y val="1.7361111111111101E-2"/>
                </c:manualLayout>
              </c:layout>
              <c:tx>
                <c:rich>
                  <a:bodyPr/>
                  <a:lstStyle/>
                  <a:p>
                    <a:r>
                      <a:rPr lang="zh-CN" altLang="en-US"/>
                      <a:t>科学技术</a:t>
                    </a:r>
                  </a:p>
                  <a:p>
                    <a:r>
                      <a:rPr lang="en-US" altLang="zh-CN"/>
                      <a:t>0.52%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89-4B41-9876-F33CAF341E99}"/>
                </c:ext>
              </c:extLst>
            </c:dLbl>
            <c:dLbl>
              <c:idx val="1"/>
              <c:layout>
                <c:manualLayout>
                  <c:x val="0"/>
                  <c:y val="1.7361111111111101E-2"/>
                </c:manualLayout>
              </c:layout>
              <c:tx>
                <c:rich>
                  <a:bodyPr/>
                  <a:lstStyle/>
                  <a:p>
                    <a:r>
                      <a:rPr lang="zh-CN" altLang="en-US"/>
                      <a:t>社会保障和就业</a:t>
                    </a:r>
                    <a:r>
                      <a:rPr lang="en-US" altLang="zh-CN"/>
                      <a:t>27.39%</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89-4B41-9876-F33CAF341E99}"/>
                </c:ext>
              </c:extLst>
            </c:dLbl>
            <c:dLbl>
              <c:idx val="2"/>
              <c:tx>
                <c:rich>
                  <a:bodyPr/>
                  <a:lstStyle/>
                  <a:p>
                    <a:r>
                      <a:rPr lang="zh-CN" altLang="en-US"/>
                      <a:t>卫生健康</a:t>
                    </a:r>
                  </a:p>
                  <a:p>
                    <a:r>
                      <a:rPr lang="en-US" altLang="zh-CN"/>
                      <a:t>3.09%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89-4B41-9876-F33CAF341E99}"/>
                </c:ext>
              </c:extLst>
            </c:dLbl>
            <c:dLbl>
              <c:idx val="3"/>
              <c:layout>
                <c:manualLayout>
                  <c:x val="-0.125"/>
                  <c:y val="-0.125"/>
                </c:manualLayout>
              </c:layout>
              <c:tx>
                <c:rich>
                  <a:bodyPr/>
                  <a:lstStyle/>
                  <a:p>
                    <a:r>
                      <a:rPr lang="zh-CN" altLang="en-US"/>
                      <a:t>资源勘探工业</a:t>
                    </a:r>
                  </a:p>
                  <a:p>
                    <a:r>
                      <a:rPr lang="zh-CN" altLang="en-US"/>
                      <a:t>信息</a:t>
                    </a:r>
                    <a:r>
                      <a:rPr lang="en-US" altLang="zh-CN"/>
                      <a:t>51.07%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89-4B41-9876-F33CAF341E99}"/>
                </c:ext>
              </c:extLst>
            </c:dLbl>
            <c:dLbl>
              <c:idx val="4"/>
              <c:tx>
                <c:rich>
                  <a:bodyPr/>
                  <a:lstStyle/>
                  <a:p>
                    <a:r>
                      <a:rPr lang="zh-CN" altLang="en-US"/>
                      <a:t>住房保障</a:t>
                    </a:r>
                  </a:p>
                  <a:p>
                    <a:r>
                      <a:rPr lang="en-US" altLang="zh-CN"/>
                      <a:t>17.93%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89-4B41-9876-F33CAF341E99}"/>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'[新建 XLSX 工作表.xlsx]Sheet1'!$C$111:$C$115</c:f>
              <c:strCache>
                <c:ptCount val="5"/>
                <c:pt idx="0">
                  <c:v>科学技术</c:v>
                </c:pt>
                <c:pt idx="1">
                  <c:v>社会保障和就业</c:v>
                </c:pt>
                <c:pt idx="2">
                  <c:v>卫生健康</c:v>
                </c:pt>
                <c:pt idx="3">
                  <c:v>资源勘探工业信息</c:v>
                </c:pt>
                <c:pt idx="4">
                  <c:v>住房保障</c:v>
                </c:pt>
              </c:strCache>
            </c:strRef>
          </c:cat>
          <c:val>
            <c:numRef>
              <c:f>'[新建 XLSX 工作表.xlsx]Sheet1'!$D$111:$D$115</c:f>
              <c:numCache>
                <c:formatCode>0.00%</c:formatCode>
                <c:ptCount val="5"/>
                <c:pt idx="0">
                  <c:v>5.1999999999999998E-3</c:v>
                </c:pt>
                <c:pt idx="1">
                  <c:v>0.27389999999999998</c:v>
                </c:pt>
                <c:pt idx="2">
                  <c:v>3.09E-2</c:v>
                </c:pt>
                <c:pt idx="3">
                  <c:v>0.51070000000000004</c:v>
                </c:pt>
                <c:pt idx="4">
                  <c:v>0.17929999999999999</c:v>
                </c:pt>
              </c:numCache>
            </c:numRef>
          </c:val>
          <c:extLst>
            <c:ext xmlns:c16="http://schemas.microsoft.com/office/drawing/2014/chart" uri="{C3380CC4-5D6E-409C-BE32-E72D297353CC}">
              <c16:uniqueId val="{0000000A-BD89-4B41-9876-F33CAF341E99}"/>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0.76528</cdr:x>
      <cdr:y>0.10995</cdr:y>
    </cdr:from>
    <cdr:to>
      <cdr:x>0.96931</cdr:x>
      <cdr:y>0.21759</cdr:y>
    </cdr:to>
    <cdr:sp macro="" textlink="">
      <cdr:nvSpPr>
        <cdr:cNvPr id="2" name="矩形 1"/>
        <cdr:cNvSpPr/>
      </cdr:nvSpPr>
      <cdr:spPr>
        <a:xfrm xmlns:a="http://schemas.openxmlformats.org/drawingml/2006/main">
          <a:off x="3498850" y="301625"/>
          <a:ext cx="932815" cy="295275"/>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900"/>
            <a:t>单位：万元</a:t>
          </a:r>
        </a:p>
      </cdr:txBody>
    </cdr:sp>
  </cdr:relSizeAnchor>
</c:userShapes>
</file>

<file path=word/drawings/drawing2.xml><?xml version="1.0" encoding="utf-8"?>
<c:userShapes xmlns:c="http://schemas.openxmlformats.org/drawingml/2006/chart">
  <cdr:relSizeAnchor xmlns:cdr="http://schemas.openxmlformats.org/drawingml/2006/chartDrawing">
    <cdr:from>
      <cdr:x>0.77569</cdr:x>
      <cdr:y>0.14468</cdr:y>
    </cdr:from>
    <cdr:to>
      <cdr:x>0.97986</cdr:x>
      <cdr:y>0.23495</cdr:y>
    </cdr:to>
    <cdr:sp macro="" textlink="">
      <cdr:nvSpPr>
        <cdr:cNvPr id="2" name="矩形 1"/>
        <cdr:cNvSpPr/>
      </cdr:nvSpPr>
      <cdr:spPr>
        <a:xfrm xmlns:a="http://schemas.openxmlformats.org/drawingml/2006/main">
          <a:off x="3546475" y="396875"/>
          <a:ext cx="933450" cy="24765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000"/>
            <a:t>单位：万元</a:t>
          </a:r>
        </a:p>
      </cdr:txBody>
    </cdr:sp>
  </cdr:relSizeAnchor>
</c:userShapes>
</file>

<file path=word/drawings/drawing3.xml><?xml version="1.0" encoding="utf-8"?>
<c:userShapes xmlns:c="http://schemas.openxmlformats.org/drawingml/2006/chart">
  <cdr:relSizeAnchor xmlns:cdr="http://schemas.openxmlformats.org/drawingml/2006/chartDrawing">
    <cdr:from>
      <cdr:x>0.75972</cdr:x>
      <cdr:y>0.1412</cdr:y>
    </cdr:from>
    <cdr:to>
      <cdr:x>0.94097</cdr:x>
      <cdr:y>0.23148</cdr:y>
    </cdr:to>
    <cdr:sp macro="" textlink="">
      <cdr:nvSpPr>
        <cdr:cNvPr id="2" name="矩形 1"/>
        <cdr:cNvSpPr/>
      </cdr:nvSpPr>
      <cdr:spPr>
        <a:xfrm xmlns:a="http://schemas.openxmlformats.org/drawingml/2006/main">
          <a:off x="3473450" y="387350"/>
          <a:ext cx="828675" cy="24765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000"/>
            <a:t>单位：万元</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889</Words>
  <Characters>5073</Characters>
  <Application>Microsoft Office Word</Application>
  <DocSecurity>0</DocSecurity>
  <Lines>42</Lines>
  <Paragraphs>11</Paragraphs>
  <ScaleCrop>false</ScaleCrop>
  <Company>四川省财政厅</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2</cp:revision>
  <cp:lastPrinted>2022-08-20T11:33:00Z</cp:lastPrinted>
  <dcterms:created xsi:type="dcterms:W3CDTF">2023-09-18T07:16:00Z</dcterms:created>
  <dcterms:modified xsi:type="dcterms:W3CDTF">2023-09-18T07:16:00Z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E0326483640F4C3BAB643837B61A0C0F</vt:lpwstr>
  </property>
</Properties>
</file>